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CBAB" w14:textId="4711906C" w:rsidR="00806190" w:rsidRPr="0067586F" w:rsidRDefault="0067586F" w:rsidP="00806190">
      <w:pPr>
        <w:pStyle w:val="OrmistonMainHeader"/>
        <w:rPr>
          <w:b/>
          <w:bCs/>
        </w:rPr>
      </w:pPr>
      <w:r w:rsidRPr="0067586F">
        <w:rPr>
          <w:b/>
          <w:bCs/>
        </w:rPr>
        <w:t>QUALIFIED</w:t>
      </w:r>
      <w:r w:rsidR="00806190" w:rsidRPr="0067586F">
        <w:rPr>
          <w:b/>
          <w:bCs/>
        </w:rPr>
        <w:t xml:space="preserve"> EMHP / CWP </w:t>
      </w:r>
    </w:p>
    <w:p w14:paraId="2D054AB8" w14:textId="1CC3E1E9" w:rsidR="00806190" w:rsidRPr="0067586F" w:rsidRDefault="0067586F" w:rsidP="00806190">
      <w:pPr>
        <w:pStyle w:val="OrmistonMainHeader"/>
        <w:rPr>
          <w:b/>
          <w:bCs/>
        </w:rPr>
      </w:pPr>
      <w:r w:rsidRPr="0067586F">
        <w:rPr>
          <w:b/>
          <w:bCs/>
        </w:rPr>
        <w:t>MENTAL HEALTH SUPPORT TEAMS IN SCHOOLS</w:t>
      </w: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1891B1D4" w:rsidR="00143E5A" w:rsidRPr="00FC7980" w:rsidRDefault="00143E5A" w:rsidP="00FC7980">
      <w:pPr>
        <w:pStyle w:val="OrmistonBody12pt"/>
        <w:rPr>
          <w:color w:val="17365D" w:themeColor="text2" w:themeShade="BF"/>
        </w:rPr>
      </w:pPr>
      <w:r w:rsidRPr="00EB12C4">
        <w:t>Thank you for your interest in the post of</w:t>
      </w:r>
      <w:r w:rsidR="00E33736">
        <w:t xml:space="preserve"> </w:t>
      </w:r>
      <w:r w:rsidR="00FC7980" w:rsidRPr="009F642B">
        <w:rPr>
          <w:color w:val="17365D" w:themeColor="text2" w:themeShade="BF"/>
        </w:rPr>
        <w:t>Qualified EMHP / CWP</w:t>
      </w:r>
      <w:r w:rsidR="00FC7980">
        <w:rPr>
          <w:color w:val="17365D" w:themeColor="text2" w:themeShade="BF"/>
        </w:rPr>
        <w:t xml:space="preserve"> on the </w:t>
      </w:r>
      <w:r w:rsidR="00FC7980" w:rsidRPr="008F66F5">
        <w:rPr>
          <w:color w:val="17365D" w:themeColor="text2" w:themeShade="BF"/>
        </w:rPr>
        <w:t>Mental Health Support Teams in Schools</w:t>
      </w:r>
      <w:r w:rsidR="00FC7980">
        <w:rPr>
          <w:color w:val="17365D" w:themeColor="text2" w:themeShade="BF"/>
        </w:rPr>
        <w:t xml:space="preserve"> programme</w:t>
      </w:r>
      <w:r w:rsidR="00FC7980" w:rsidRPr="008F66F5">
        <w:rPr>
          <w:color w:val="17365D" w:themeColor="text2" w:themeShade="BF"/>
        </w:rPr>
        <w:t>.</w:t>
      </w:r>
    </w:p>
    <w:p w14:paraId="1150710F" w14:textId="77777777" w:rsidR="00143E5A" w:rsidRPr="00EB12C4" w:rsidRDefault="00143E5A" w:rsidP="000B473F">
      <w:pPr>
        <w:pStyle w:val="OrmistonBody12pt"/>
        <w:jc w:val="both"/>
      </w:pPr>
    </w:p>
    <w:p w14:paraId="560E1235" w14:textId="77777777" w:rsidR="00143E5A" w:rsidRPr="00EB12C4" w:rsidRDefault="00143E5A" w:rsidP="000B473F">
      <w:pPr>
        <w:pStyle w:val="OrmistonBody12pt"/>
        <w:jc w:val="both"/>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w:t>
      </w:r>
      <w:proofErr w:type="gramStart"/>
      <w:r w:rsidRPr="00B45868">
        <w:rPr>
          <w:rFonts w:ascii="Arial" w:eastAsia="Calibri" w:hAnsi="Arial" w:cs="Arial"/>
          <w:bCs w:val="0"/>
          <w:color w:val="2A3B4C"/>
          <w:sz w:val="21"/>
          <w:szCs w:val="21"/>
          <w:lang w:eastAsia="en-GB"/>
        </w:rPr>
        <w:t>people</w:t>
      </w:r>
      <w:proofErr w:type="gramEnd"/>
      <w:r w:rsidRPr="00B45868">
        <w:rPr>
          <w:rFonts w:ascii="Arial" w:eastAsia="Calibri" w:hAnsi="Arial" w:cs="Arial"/>
          <w:bCs w:val="0"/>
          <w:color w:val="2A3B4C"/>
          <w:sz w:val="21"/>
          <w:szCs w:val="21"/>
          <w:lang w:eastAsia="en-GB"/>
        </w:rPr>
        <w:t xml:space="preserv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w:t>
      </w:r>
      <w:proofErr w:type="gramStart"/>
      <w:r w:rsidR="003C7C5B" w:rsidRPr="00B45868">
        <w:rPr>
          <w:rFonts w:ascii="Arial" w:eastAsia="Calibri" w:hAnsi="Arial" w:cs="Arial"/>
          <w:bCs w:val="0"/>
          <w:color w:val="2A3B4C"/>
          <w:sz w:val="21"/>
          <w:szCs w:val="21"/>
          <w:lang w:eastAsia="en-GB"/>
        </w:rPr>
        <w:t>healthy</w:t>
      </w:r>
      <w:proofErr w:type="gramEnd"/>
      <w:r w:rsidR="003C7C5B" w:rsidRPr="00B45868">
        <w:rPr>
          <w:rFonts w:ascii="Arial" w:eastAsia="Calibri" w:hAnsi="Arial" w:cs="Arial"/>
          <w:bCs w:val="0"/>
          <w:color w:val="2A3B4C"/>
          <w:sz w:val="21"/>
          <w:szCs w:val="21"/>
          <w:lang w:eastAsia="en-GB"/>
        </w:rPr>
        <w:t xml:space="preserve">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07F3D654" w:rsidR="000F71CB" w:rsidRPr="00A13C9C" w:rsidRDefault="006E29FE" w:rsidP="006E29FE">
      <w:pPr>
        <w:pStyle w:val="OrmistonSubHeader"/>
        <w:rPr>
          <w:color w:val="00A878"/>
        </w:rPr>
      </w:pPr>
      <w:r w:rsidRPr="00A13C9C">
        <w:rPr>
          <w:color w:val="00A878"/>
        </w:rPr>
        <w:t xml:space="preserve">About Our </w:t>
      </w:r>
      <w:r w:rsidR="00FC7980">
        <w:rPr>
          <w:color w:val="00A878"/>
        </w:rPr>
        <w:t>Mental Health Support Teams in Schools (MHSTS)</w:t>
      </w: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29DE9C81" w14:textId="77777777" w:rsidR="00FC7980" w:rsidRDefault="00FC7980" w:rsidP="00FC7980">
      <w:pPr>
        <w:pStyle w:val="Default"/>
        <w:jc w:val="both"/>
      </w:pPr>
      <w:r w:rsidRPr="00FC7980">
        <w:rPr>
          <w:rFonts w:ascii="Arial" w:eastAsia="Calibri" w:hAnsi="Arial" w:cs="Arial"/>
          <w:color w:val="2A3B4C"/>
          <w:sz w:val="21"/>
          <w:szCs w:val="21"/>
          <w:lang w:val="en-GB" w:eastAsia="en-GB"/>
        </w:rPr>
        <w:t>Mental Health Support Teams in Schools (MHSTS) is a government initiative to support children and young people at the earliest opportunity by developing mentally health schools. Ormiston Families works in partnership with the Norfolk and Waveney Health and Care Partnership to deliver evidence-based interventions across a group of schools.</w:t>
      </w:r>
      <w:r w:rsidRPr="00FC7980">
        <w:t xml:space="preserve"> </w:t>
      </w:r>
    </w:p>
    <w:p w14:paraId="591CC303" w14:textId="77777777" w:rsidR="00FC7980" w:rsidRDefault="00FC7980" w:rsidP="00FC7980">
      <w:pPr>
        <w:pStyle w:val="Default"/>
        <w:jc w:val="both"/>
      </w:pPr>
    </w:p>
    <w:p w14:paraId="4AFF654E" w14:textId="5C26D741" w:rsidR="00FC7980" w:rsidRPr="00FC7980"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 xml:space="preserve">The post holder will deliver low intensity, CBT-informed interventions, as part of a whole school approach to improving children and young people’s mental health. You will be part of a Team based in King’s Lynn or </w:t>
      </w:r>
      <w:proofErr w:type="spellStart"/>
      <w:r w:rsidRPr="00FC7980">
        <w:rPr>
          <w:rFonts w:ascii="Arial" w:eastAsia="Calibri" w:hAnsi="Arial" w:cs="Arial"/>
          <w:color w:val="2A3B4C"/>
          <w:sz w:val="21"/>
          <w:szCs w:val="21"/>
          <w:lang w:val="en-GB" w:eastAsia="en-GB"/>
        </w:rPr>
        <w:t>Breckland</w:t>
      </w:r>
      <w:proofErr w:type="spellEnd"/>
      <w:r w:rsidRPr="00FC7980">
        <w:rPr>
          <w:rFonts w:ascii="Arial" w:eastAsia="Calibri" w:hAnsi="Arial" w:cs="Arial"/>
          <w:color w:val="2A3B4C"/>
          <w:sz w:val="21"/>
          <w:szCs w:val="21"/>
          <w:lang w:val="en-GB" w:eastAsia="en-GB"/>
        </w:rPr>
        <w:t xml:space="preserve">. There is an expectation that you will be able to travel independently to visit and work with educational settings in the area. This is a fast-developing service, and it is expected that there will be continued investment in this area over the next five years. </w:t>
      </w:r>
    </w:p>
    <w:p w14:paraId="42DE4777" w14:textId="77777777" w:rsidR="00FC7980" w:rsidRPr="00FC7980"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 xml:space="preserve"> </w:t>
      </w:r>
    </w:p>
    <w:p w14:paraId="646869CF" w14:textId="591F0C16" w:rsidR="00FC7980" w:rsidRPr="00FC7980"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 xml:space="preserve">The role of the Qualified EMHP / CWP within MHSTS is pivotal in improving access to evidence-based intervention at the earliest opportunity. Working alongside school staff, you will develop a positive culture which allows children and young people to talk about their mental health without fear of being stigmatized and develop a whole school approach to educating pupils positive steps to stay mentally well and recognize when support is needed. </w:t>
      </w:r>
    </w:p>
    <w:p w14:paraId="14B01247" w14:textId="77777777" w:rsidR="00FC7980" w:rsidRPr="00FC7980" w:rsidRDefault="00FC7980" w:rsidP="00FC7980">
      <w:pPr>
        <w:pStyle w:val="Default"/>
        <w:jc w:val="both"/>
        <w:rPr>
          <w:rFonts w:ascii="Arial" w:eastAsia="Calibri" w:hAnsi="Arial" w:cs="Arial"/>
          <w:color w:val="2A3B4C"/>
          <w:sz w:val="21"/>
          <w:szCs w:val="21"/>
          <w:lang w:val="en-GB" w:eastAsia="en-GB"/>
        </w:rPr>
      </w:pPr>
    </w:p>
    <w:p w14:paraId="41B9ECBC" w14:textId="77777777" w:rsidR="00FC7980" w:rsidRPr="00FC7980"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 xml:space="preserve">Alongside the development of whole school approaches, you will also be carrying out direct CBT-informed interventions with children and young people experiencing mild to moderate mental health difficulties. These individual interventions will take place in their educational setting and where appropriate, you will collaborate with parents/carers to coproduce their own agreed plan of care. </w:t>
      </w:r>
    </w:p>
    <w:p w14:paraId="14BBB1F4" w14:textId="77777777" w:rsidR="00FC7980" w:rsidRPr="00FC7980" w:rsidRDefault="00FC7980" w:rsidP="00FC7980">
      <w:pPr>
        <w:pStyle w:val="Default"/>
        <w:jc w:val="both"/>
        <w:rPr>
          <w:rFonts w:ascii="Arial" w:eastAsia="Calibri" w:hAnsi="Arial" w:cs="Arial"/>
          <w:color w:val="2A3B4C"/>
          <w:sz w:val="21"/>
          <w:szCs w:val="21"/>
          <w:lang w:val="en-GB" w:eastAsia="en-GB"/>
        </w:rPr>
      </w:pPr>
    </w:p>
    <w:p w14:paraId="7FA6A651" w14:textId="77777777" w:rsidR="00FC7980" w:rsidRPr="00FC7980"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 xml:space="preserve">You will receive high-quality supervision from the Senior Children Wellbeing Practitioner/Senior Therapist who will support you to reflect on your learning and enable you to use this in practice. This will be key to ensuring the successful delivery and sustainability of the MHSTS. </w:t>
      </w:r>
    </w:p>
    <w:p w14:paraId="374778F9" w14:textId="77777777" w:rsidR="00FC7980" w:rsidRPr="00FC7980" w:rsidRDefault="00FC7980" w:rsidP="00FC7980">
      <w:pPr>
        <w:pStyle w:val="Default"/>
        <w:jc w:val="both"/>
        <w:rPr>
          <w:rFonts w:ascii="Arial" w:eastAsia="Calibri" w:hAnsi="Arial" w:cs="Arial"/>
          <w:color w:val="2A3B4C"/>
          <w:sz w:val="21"/>
          <w:szCs w:val="21"/>
          <w:lang w:val="en-GB" w:eastAsia="en-GB"/>
        </w:rPr>
      </w:pPr>
    </w:p>
    <w:p w14:paraId="47A18E61" w14:textId="304DA6C0" w:rsidR="005D2EE1"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The role of the Qualified EMHP /</w:t>
      </w:r>
      <w:r w:rsidR="00E6483B">
        <w:rPr>
          <w:rFonts w:ascii="Arial" w:eastAsia="Calibri" w:hAnsi="Arial" w:cs="Arial"/>
          <w:color w:val="2A3B4C"/>
          <w:sz w:val="21"/>
          <w:szCs w:val="21"/>
          <w:lang w:val="en-GB" w:eastAsia="en-GB"/>
        </w:rPr>
        <w:t xml:space="preserve"> </w:t>
      </w:r>
      <w:r w:rsidRPr="00FC7980">
        <w:rPr>
          <w:rFonts w:ascii="Arial" w:eastAsia="Calibri" w:hAnsi="Arial" w:cs="Arial"/>
          <w:color w:val="2A3B4C"/>
          <w:sz w:val="21"/>
          <w:szCs w:val="21"/>
          <w:lang w:val="en-GB" w:eastAsia="en-GB"/>
        </w:rPr>
        <w:t>CWP, will give you the unique opportunity to join the Psychological Professions Network, which is a membership network for all psychological professionals and stakeholders in NHS commissioned psychological healthcare.</w:t>
      </w:r>
    </w:p>
    <w:p w14:paraId="2FA2533B" w14:textId="77777777" w:rsidR="00FC7980" w:rsidRDefault="00FC7980" w:rsidP="002A68D5">
      <w:pPr>
        <w:pStyle w:val="Default"/>
        <w:jc w:val="both"/>
        <w:rPr>
          <w:rFonts w:ascii="Arial" w:eastAsiaTheme="minorEastAsia" w:hAnsi="Arial" w:cs="Arial"/>
          <w:color w:val="FF0000"/>
          <w:sz w:val="21"/>
          <w:szCs w:val="21"/>
        </w:rPr>
      </w:pP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2BBA42F8" w14:textId="77777777" w:rsidR="002A68D5" w:rsidRDefault="002A68D5">
      <w:pPr>
        <w:rPr>
          <w:rFonts w:ascii="Arial Bold" w:hAnsi="Arial Bold" w:cs="Arial Bold"/>
          <w:bCs/>
          <w:color w:val="00A879"/>
          <w:sz w:val="28"/>
          <w:szCs w:val="28"/>
        </w:rPr>
      </w:pPr>
      <w:r>
        <w:rPr>
          <w:rFonts w:ascii="Arial Bold" w:hAnsi="Arial Bold" w:cs="Arial Bold"/>
          <w:bCs/>
          <w:color w:val="00A879"/>
          <w:sz w:val="28"/>
          <w:szCs w:val="28"/>
        </w:rPr>
        <w:br w:type="page"/>
      </w: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w:t>
      </w:r>
      <w:proofErr w:type="gramStart"/>
      <w:r w:rsidR="006E29FE" w:rsidRPr="00B45868">
        <w:rPr>
          <w:rFonts w:ascii="Arial" w:eastAsia="Calibri" w:hAnsi="Arial" w:cs="Arial"/>
          <w:color w:val="2A3B4C"/>
          <w:sz w:val="21"/>
          <w:szCs w:val="21"/>
          <w:lang w:eastAsia="en-GB"/>
        </w:rPr>
        <w:t>Zoom</w:t>
      </w:r>
      <w:proofErr w:type="gramEnd"/>
      <w:r w:rsidR="006E29FE"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This is to confirm that you </w:t>
      </w:r>
      <w:proofErr w:type="gramStart"/>
      <w:r w:rsidRPr="00B45868">
        <w:rPr>
          <w:rFonts w:ascii="Arial" w:eastAsia="Calibri" w:hAnsi="Arial" w:cs="Arial"/>
          <w:color w:val="2A3B4C"/>
          <w:sz w:val="21"/>
          <w:szCs w:val="21"/>
          <w:lang w:eastAsia="en-GB"/>
        </w:rPr>
        <w:t>are able to</w:t>
      </w:r>
      <w:proofErr w:type="gramEnd"/>
      <w:r w:rsidRPr="00B45868">
        <w:rPr>
          <w:rFonts w:ascii="Arial" w:eastAsia="Calibri" w:hAnsi="Arial" w:cs="Arial"/>
          <w:color w:val="2A3B4C"/>
          <w:sz w:val="21"/>
          <w:szCs w:val="21"/>
          <w:lang w:eastAsia="en-GB"/>
        </w:rPr>
        <w:t xml:space="preserve">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w:t>
      </w:r>
      <w:proofErr w:type="gramStart"/>
      <w:r w:rsidRPr="00B45868">
        <w:rPr>
          <w:rFonts w:ascii="Arial" w:eastAsia="Calibri" w:hAnsi="Arial" w:cs="Arial"/>
          <w:color w:val="2A3B4C"/>
          <w:sz w:val="21"/>
          <w:szCs w:val="21"/>
          <w:lang w:eastAsia="en-GB"/>
        </w:rPr>
        <w:t>recorded</w:t>
      </w:r>
      <w:proofErr w:type="gramEnd"/>
      <w:r w:rsidRPr="00B45868">
        <w:rPr>
          <w:rFonts w:ascii="Arial" w:eastAsia="Calibri" w:hAnsi="Arial" w:cs="Arial"/>
          <w:color w:val="2A3B4C"/>
          <w:sz w:val="21"/>
          <w:szCs w:val="21"/>
          <w:lang w:eastAsia="en-GB"/>
        </w:rPr>
        <w:t xml:space="preserve">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w:t>
      </w:r>
      <w:proofErr w:type="gramStart"/>
      <w:r w:rsidRPr="00B45868">
        <w:rPr>
          <w:rFonts w:ascii="Arial" w:eastAsia="Calibri" w:hAnsi="Arial" w:cs="Arial"/>
          <w:color w:val="2A3B4C"/>
          <w:sz w:val="21"/>
          <w:szCs w:val="21"/>
          <w:lang w:eastAsia="en-GB"/>
        </w:rPr>
        <w:t>on the basis of</w:t>
      </w:r>
      <w:proofErr w:type="gramEnd"/>
      <w:r w:rsidRPr="00B45868">
        <w:rPr>
          <w:rFonts w:ascii="Arial" w:eastAsia="Calibri" w:hAnsi="Arial" w:cs="Arial"/>
          <w:color w:val="2A3B4C"/>
          <w:sz w:val="21"/>
          <w:szCs w:val="21"/>
          <w:lang w:eastAsia="en-GB"/>
        </w:rPr>
        <w:t xml:space="preserve">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43C8DEF8" w14:textId="2B4D0C00" w:rsidR="002A68D5" w:rsidRPr="005533F4" w:rsidRDefault="002A68D5" w:rsidP="002A68D5">
      <w:pPr>
        <w:pStyle w:val="BodyText"/>
        <w:rPr>
          <w:rFonts w:ascii="Arial" w:eastAsiaTheme="minorEastAsia" w:hAnsi="Arial" w:cs="Arial"/>
          <w:b/>
          <w:bCs/>
          <w:color w:val="2A3B4C"/>
          <w:sz w:val="21"/>
          <w:szCs w:val="21"/>
        </w:rPr>
      </w:pPr>
      <w:r w:rsidRPr="005533F4">
        <w:rPr>
          <w:rFonts w:ascii="Arial" w:eastAsiaTheme="minorEastAsia" w:hAnsi="Arial" w:cs="Arial"/>
          <w:b/>
          <w:bCs/>
          <w:color w:val="2A3B4C"/>
          <w:sz w:val="21"/>
          <w:szCs w:val="21"/>
        </w:rPr>
        <w:t>Closing date for completed applications:</w:t>
      </w:r>
      <w:r w:rsidR="00A97F47" w:rsidRPr="005533F4">
        <w:rPr>
          <w:rFonts w:ascii="Arial" w:eastAsiaTheme="minorEastAsia" w:hAnsi="Arial" w:cs="Arial"/>
          <w:b/>
          <w:bCs/>
          <w:color w:val="2A3B4C"/>
          <w:sz w:val="21"/>
          <w:szCs w:val="21"/>
        </w:rPr>
        <w:tab/>
        <w:t xml:space="preserve">9am, Monday </w:t>
      </w:r>
      <w:r w:rsidR="00834AB2">
        <w:rPr>
          <w:rFonts w:ascii="Arial" w:eastAsiaTheme="minorEastAsia" w:hAnsi="Arial" w:cs="Arial"/>
          <w:b/>
          <w:bCs/>
          <w:color w:val="2A3B4C"/>
          <w:sz w:val="21"/>
          <w:szCs w:val="21"/>
        </w:rPr>
        <w:t>8</w:t>
      </w:r>
      <w:r w:rsidR="00834AB2" w:rsidRPr="00834AB2">
        <w:rPr>
          <w:rFonts w:ascii="Arial" w:eastAsiaTheme="minorEastAsia" w:hAnsi="Arial" w:cs="Arial"/>
          <w:b/>
          <w:bCs/>
          <w:color w:val="2A3B4C"/>
          <w:sz w:val="21"/>
          <w:szCs w:val="21"/>
          <w:vertAlign w:val="superscript"/>
        </w:rPr>
        <w:t>th</w:t>
      </w:r>
      <w:r w:rsidR="00834AB2">
        <w:rPr>
          <w:rFonts w:ascii="Arial" w:eastAsiaTheme="minorEastAsia" w:hAnsi="Arial" w:cs="Arial"/>
          <w:b/>
          <w:bCs/>
          <w:color w:val="2A3B4C"/>
          <w:sz w:val="21"/>
          <w:szCs w:val="21"/>
        </w:rPr>
        <w:t xml:space="preserve"> </w:t>
      </w:r>
      <w:r w:rsidR="00A97F47" w:rsidRPr="005533F4">
        <w:rPr>
          <w:rFonts w:ascii="Arial" w:eastAsiaTheme="minorEastAsia" w:hAnsi="Arial" w:cs="Arial"/>
          <w:b/>
          <w:bCs/>
          <w:color w:val="2A3B4C"/>
          <w:sz w:val="21"/>
          <w:szCs w:val="21"/>
        </w:rPr>
        <w:t>November 2021</w:t>
      </w:r>
      <w:r w:rsidRPr="005533F4">
        <w:rPr>
          <w:rFonts w:ascii="Arial" w:eastAsiaTheme="minorEastAsia" w:hAnsi="Arial" w:cs="Arial"/>
          <w:b/>
          <w:bCs/>
          <w:color w:val="2A3B4C"/>
          <w:sz w:val="21"/>
          <w:szCs w:val="21"/>
        </w:rPr>
        <w:tab/>
      </w:r>
    </w:p>
    <w:p w14:paraId="0C1E97F5" w14:textId="77777777" w:rsidR="002A68D5" w:rsidRPr="005533F4" w:rsidRDefault="002A68D5" w:rsidP="002A68D5">
      <w:pPr>
        <w:pStyle w:val="BodyText"/>
        <w:rPr>
          <w:rFonts w:ascii="Arial" w:eastAsiaTheme="minorEastAsia" w:hAnsi="Arial" w:cs="Arial"/>
          <w:b/>
          <w:bCs/>
          <w:color w:val="2A3B4C"/>
          <w:sz w:val="21"/>
          <w:szCs w:val="21"/>
        </w:rPr>
      </w:pPr>
    </w:p>
    <w:p w14:paraId="0CB83D8A" w14:textId="385B2C4A" w:rsidR="002A68D5" w:rsidRPr="00BC61F9" w:rsidRDefault="002A68D5" w:rsidP="002A68D5">
      <w:pPr>
        <w:pStyle w:val="BodyText"/>
        <w:rPr>
          <w:rFonts w:ascii="Arial" w:eastAsiaTheme="minorEastAsia" w:hAnsi="Arial" w:cs="Arial"/>
          <w:color w:val="2A3B4C"/>
          <w:sz w:val="21"/>
          <w:szCs w:val="21"/>
        </w:rPr>
      </w:pPr>
      <w:r w:rsidRPr="005533F4">
        <w:rPr>
          <w:rFonts w:ascii="Arial" w:eastAsiaTheme="minorEastAsia" w:hAnsi="Arial" w:cs="Arial"/>
          <w:b/>
          <w:bCs/>
          <w:color w:val="2A3B4C"/>
          <w:sz w:val="21"/>
          <w:szCs w:val="21"/>
        </w:rPr>
        <w:t>Interview date for short listed candidates:</w:t>
      </w:r>
      <w:r w:rsidR="00A97F47" w:rsidRPr="005533F4">
        <w:rPr>
          <w:rFonts w:ascii="Arial" w:eastAsiaTheme="minorEastAsia" w:hAnsi="Arial" w:cs="Arial"/>
          <w:b/>
          <w:bCs/>
          <w:color w:val="2A3B4C"/>
          <w:sz w:val="21"/>
          <w:szCs w:val="21"/>
        </w:rPr>
        <w:tab/>
      </w:r>
      <w:r w:rsidR="000B65EF">
        <w:rPr>
          <w:rFonts w:ascii="Arial" w:eastAsiaTheme="minorEastAsia" w:hAnsi="Arial" w:cs="Arial"/>
          <w:b/>
          <w:bCs/>
          <w:color w:val="2A3B4C"/>
          <w:sz w:val="21"/>
          <w:szCs w:val="21"/>
        </w:rPr>
        <w:t>To be confirmed</w:t>
      </w:r>
      <w:r w:rsidRPr="00BC61F9">
        <w:rPr>
          <w:rFonts w:ascii="Arial" w:eastAsiaTheme="minorEastAsia" w:hAnsi="Arial" w:cs="Arial"/>
          <w:color w:val="2A3B4C"/>
          <w:sz w:val="21"/>
          <w:szCs w:val="21"/>
        </w:rPr>
        <w:tab/>
      </w:r>
    </w:p>
    <w:p w14:paraId="131D9F11" w14:textId="031341A2" w:rsidR="002A68D5" w:rsidRDefault="002A68D5" w:rsidP="002A68D5">
      <w:pPr>
        <w:autoSpaceDE w:val="0"/>
        <w:autoSpaceDN w:val="0"/>
        <w:adjustRightInd w:val="0"/>
        <w:rPr>
          <w:rFonts w:ascii="Arial" w:hAnsi="Arial" w:cs="Arial"/>
          <w:color w:val="2A3B4C"/>
          <w:sz w:val="21"/>
          <w:szCs w:val="21"/>
        </w:rPr>
      </w:pPr>
    </w:p>
    <w:p w14:paraId="14C98952" w14:textId="77777777" w:rsidR="005533F4" w:rsidRPr="00BC61F9" w:rsidRDefault="005533F4" w:rsidP="002A68D5">
      <w:pPr>
        <w:autoSpaceDE w:val="0"/>
        <w:autoSpaceDN w:val="0"/>
        <w:adjustRightInd w:val="0"/>
        <w:rPr>
          <w:rFonts w:ascii="Arial" w:hAnsi="Arial" w:cs="Arial"/>
          <w:color w:val="2A3B4C"/>
          <w:sz w:val="21"/>
          <w:szCs w:val="21"/>
        </w:rPr>
      </w:pPr>
    </w:p>
    <w:p w14:paraId="22636AE7" w14:textId="38EB606C" w:rsidR="00A97F47" w:rsidRPr="00A97F47" w:rsidRDefault="00A97F47" w:rsidP="00A97F47">
      <w:pPr>
        <w:autoSpaceDE w:val="0"/>
        <w:autoSpaceDN w:val="0"/>
        <w:adjustRightInd w:val="0"/>
        <w:rPr>
          <w:rFonts w:ascii="Arial" w:hAnsi="Arial" w:cs="Arial"/>
          <w:b/>
          <w:bCs/>
          <w:color w:val="2A3B4C"/>
          <w:sz w:val="21"/>
          <w:szCs w:val="21"/>
        </w:rPr>
      </w:pPr>
      <w:r w:rsidRPr="00A97F47">
        <w:rPr>
          <w:rFonts w:ascii="Arial" w:hAnsi="Arial" w:cs="Arial"/>
          <w:b/>
          <w:bCs/>
          <w:color w:val="2A3B4C"/>
          <w:sz w:val="21"/>
          <w:szCs w:val="21"/>
        </w:rPr>
        <w:t xml:space="preserve">Any queries, or for an informal discussion with one of the team managers regarding the role, please email: </w:t>
      </w:r>
      <w:hyperlink r:id="rId14" w:history="1">
        <w:r w:rsidRPr="001B583B">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r w:rsidRPr="00A97F47">
        <w:rPr>
          <w:rFonts w:ascii="Arial" w:hAnsi="Arial" w:cs="Arial"/>
          <w:b/>
          <w:bCs/>
          <w:color w:val="2A3B4C"/>
          <w:sz w:val="21"/>
          <w:szCs w:val="21"/>
        </w:rPr>
        <w:t>or call 0800 977 4077</w:t>
      </w:r>
    </w:p>
    <w:p w14:paraId="5B08F3D6" w14:textId="77777777" w:rsidR="00A97F47" w:rsidRPr="00A97F47" w:rsidRDefault="00A97F47" w:rsidP="00A97F47">
      <w:pPr>
        <w:autoSpaceDE w:val="0"/>
        <w:autoSpaceDN w:val="0"/>
        <w:adjustRightInd w:val="0"/>
        <w:rPr>
          <w:rFonts w:ascii="Arial" w:hAnsi="Arial" w:cs="Arial"/>
          <w:b/>
          <w:bCs/>
          <w:color w:val="2A3B4C"/>
          <w:sz w:val="21"/>
          <w:szCs w:val="21"/>
        </w:rPr>
      </w:pPr>
    </w:p>
    <w:p w14:paraId="726C1109" w14:textId="60FA0CE8" w:rsidR="002A68D5" w:rsidRPr="00BC61F9" w:rsidRDefault="00A97F47" w:rsidP="00A97F47">
      <w:pPr>
        <w:autoSpaceDE w:val="0"/>
        <w:autoSpaceDN w:val="0"/>
        <w:adjustRightInd w:val="0"/>
        <w:rPr>
          <w:rFonts w:ascii="Arial" w:hAnsi="Arial" w:cs="Arial"/>
          <w:b/>
          <w:bCs/>
          <w:color w:val="2A3B4C"/>
          <w:sz w:val="21"/>
          <w:szCs w:val="21"/>
        </w:rPr>
      </w:pPr>
      <w:r w:rsidRPr="00A97F47">
        <w:rPr>
          <w:rFonts w:ascii="Arial" w:hAnsi="Arial" w:cs="Arial"/>
          <w:b/>
          <w:bCs/>
          <w:color w:val="2A3B4C"/>
          <w:sz w:val="21"/>
          <w:szCs w:val="21"/>
        </w:rPr>
        <w:t xml:space="preserve">To request this document in a larger font, please email </w:t>
      </w:r>
      <w:hyperlink r:id="rId15" w:history="1">
        <w:r w:rsidRPr="001B583B">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r w:rsidR="002A68D5" w:rsidRPr="00BC61F9">
        <w:rPr>
          <w:rFonts w:ascii="Arial" w:hAnsi="Arial" w:cs="Arial"/>
          <w:b/>
          <w:bCs/>
          <w:color w:val="2A3B4C"/>
          <w:sz w:val="21"/>
          <w:szCs w:val="21"/>
        </w:rPr>
        <w:t xml:space="preserve"> </w:t>
      </w:r>
      <w:r w:rsidR="00992E36">
        <w:rPr>
          <w:rFonts w:ascii="Arial" w:hAnsi="Arial" w:cs="Arial"/>
          <w:b/>
          <w:bCs/>
          <w:color w:val="2A3B4C"/>
          <w:sz w:val="21"/>
          <w:szCs w:val="21"/>
        </w:rPr>
        <w:tab/>
      </w:r>
      <w:r w:rsidR="00992E36">
        <w:rPr>
          <w:rFonts w:ascii="Arial" w:hAnsi="Arial" w:cs="Arial"/>
          <w:b/>
          <w:bCs/>
          <w:color w:val="2A3B4C"/>
          <w:sz w:val="21"/>
          <w:szCs w:val="21"/>
        </w:rPr>
        <w:tab/>
      </w:r>
      <w:r w:rsidR="00992E36">
        <w:rPr>
          <w:rFonts w:ascii="Arial" w:hAnsi="Arial" w:cs="Arial"/>
          <w:b/>
          <w:bCs/>
          <w:color w:val="2A3B4C"/>
          <w:sz w:val="21"/>
          <w:szCs w:val="21"/>
        </w:rPr>
        <w:tab/>
      </w:r>
    </w:p>
    <w:p w14:paraId="626E9B34" w14:textId="4844F78D" w:rsidR="009B5E6C" w:rsidRDefault="009B5E6C" w:rsidP="004F1758">
      <w:pPr>
        <w:pStyle w:val="OrmistonBody105pt"/>
      </w:pPr>
    </w:p>
    <w:p w14:paraId="0D6FA17A" w14:textId="08CCE033" w:rsidR="00007179" w:rsidRDefault="002C7DF6" w:rsidP="00CF21FD">
      <w:pPr>
        <w:pStyle w:val="OrmistonBody105pt"/>
        <w:jc w:val="both"/>
      </w:pPr>
      <w:r w:rsidRPr="002C7DF6">
        <w:rPr>
          <w:b/>
          <w:bCs/>
        </w:rPr>
        <w:t>Ormiston Families reserves the right to close the vacancy early if we have received sufficient applications ahead of the closing dat</w:t>
      </w:r>
      <w:r w:rsidR="00CF21FD">
        <w:rPr>
          <w:b/>
          <w:bCs/>
        </w:rPr>
        <w:t>e.</w:t>
      </w:r>
    </w:p>
    <w:p w14:paraId="5BA1FAD5" w14:textId="77777777" w:rsidR="00FA5810" w:rsidRPr="00FA5810" w:rsidRDefault="00676983" w:rsidP="00CF21FD">
      <w:pPr>
        <w:rPr>
          <w:rFonts w:ascii="Arial" w:hAnsi="Arial" w:cs="Arial"/>
          <w:b/>
          <w:bCs/>
          <w:color w:val="00A879"/>
          <w:sz w:val="36"/>
          <w:szCs w:val="36"/>
        </w:rPr>
      </w:pPr>
      <w:r>
        <w:br w:type="page"/>
      </w:r>
      <w:r w:rsidRPr="00FA5810">
        <w:rPr>
          <w:rFonts w:ascii="Arial" w:hAnsi="Arial" w:cs="Arial"/>
          <w:b/>
          <w:bCs/>
          <w:color w:val="00A878"/>
          <w:sz w:val="36"/>
          <w:szCs w:val="36"/>
        </w:rPr>
        <w:lastRenderedPageBreak/>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F1FB6F5" w14:textId="51DE0878" w:rsidR="00676983" w:rsidRPr="004858A0" w:rsidRDefault="00A97F47" w:rsidP="00CF21FD">
      <w:pPr>
        <w:rPr>
          <w:rFonts w:ascii="Arial" w:hAnsi="Arial" w:cs="Arial"/>
          <w:b/>
          <w:bCs/>
        </w:rPr>
      </w:pPr>
      <w:r w:rsidRPr="00A97F47">
        <w:rPr>
          <w:rFonts w:ascii="Arial" w:hAnsi="Arial" w:cs="Arial"/>
          <w:b/>
          <w:bCs/>
          <w:color w:val="00A879"/>
          <w:sz w:val="28"/>
          <w:szCs w:val="28"/>
        </w:rPr>
        <w:t>Qualified EMHP / CWP</w:t>
      </w:r>
    </w:p>
    <w:p w14:paraId="7EBABF40" w14:textId="77777777" w:rsidR="00676983" w:rsidRDefault="00676983"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538EA88C" w14:textId="77777777" w:rsidR="00FA5810" w:rsidRPr="00FA5810" w:rsidRDefault="00FA5810" w:rsidP="00676983">
      <w:pPr>
        <w:pStyle w:val="BodyText"/>
        <w:rPr>
          <w:rFonts w:ascii="Arial Bold" w:eastAsiaTheme="minorEastAsia" w:hAnsi="Arial Bold" w:cs="Arial Bold"/>
          <w:bCs/>
          <w:color w:val="00A879"/>
          <w:szCs w:val="16"/>
        </w:rPr>
      </w:pPr>
    </w:p>
    <w:p w14:paraId="5A8D3D26" w14:textId="4968E894" w:rsidR="00676983" w:rsidRDefault="00676983" w:rsidP="005F5ADE">
      <w:pPr>
        <w:pStyle w:val="BodyText"/>
        <w:numPr>
          <w:ilvl w:val="0"/>
          <w:numId w:val="43"/>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full-time</w:t>
      </w:r>
      <w:r w:rsidR="00A97F47">
        <w:rPr>
          <w:rFonts w:ascii="Arial" w:eastAsiaTheme="minorEastAsia" w:hAnsi="Arial" w:cs="Arial"/>
          <w:color w:val="2A3B4C"/>
          <w:sz w:val="21"/>
          <w:szCs w:val="21"/>
        </w:rPr>
        <w:t>.</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0C969B6A" w:rsidR="00676983" w:rsidRDefault="00676983"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1"/>
          <w:szCs w:val="21"/>
        </w:rPr>
        <w:t>H</w:t>
      </w:r>
      <w:r w:rsidRPr="00A142C9">
        <w:rPr>
          <w:rFonts w:ascii="Arial" w:eastAsiaTheme="minorEastAsia" w:hAnsi="Arial" w:cs="Arial"/>
          <w:b/>
          <w:bCs/>
          <w:color w:val="00A879"/>
          <w:sz w:val="22"/>
          <w:szCs w:val="22"/>
        </w:rPr>
        <w:t xml:space="preserve">ours </w:t>
      </w:r>
      <w:r w:rsidR="00A142C9">
        <w:rPr>
          <w:rFonts w:ascii="Arial" w:eastAsiaTheme="minorEastAsia" w:hAnsi="Arial" w:cs="Arial"/>
          <w:b/>
          <w:bCs/>
          <w:color w:val="00A879"/>
          <w:sz w:val="22"/>
          <w:szCs w:val="22"/>
        </w:rPr>
        <w:t>o</w:t>
      </w:r>
      <w:r w:rsidR="00A142C9" w:rsidRPr="00A142C9">
        <w:rPr>
          <w:rFonts w:ascii="Arial" w:eastAsiaTheme="minorEastAsia" w:hAnsi="Arial" w:cs="Arial"/>
          <w:b/>
          <w:bCs/>
          <w:color w:val="00A879"/>
          <w:sz w:val="22"/>
          <w:szCs w:val="22"/>
        </w:rPr>
        <w:t xml:space="preserve">f Work </w:t>
      </w:r>
      <w:r w:rsidR="00A142C9">
        <w:rPr>
          <w:rFonts w:ascii="Arial" w:eastAsiaTheme="minorEastAsia" w:hAnsi="Arial" w:cs="Arial"/>
          <w:b/>
          <w:bCs/>
          <w:color w:val="00A879"/>
          <w:sz w:val="22"/>
          <w:szCs w:val="22"/>
        </w:rPr>
        <w:t>a</w:t>
      </w:r>
      <w:r w:rsidR="00A142C9" w:rsidRPr="00A142C9">
        <w:rPr>
          <w:rFonts w:ascii="Arial" w:eastAsiaTheme="minorEastAsia" w:hAnsi="Arial" w:cs="Arial"/>
          <w:b/>
          <w:bCs/>
          <w:color w:val="00A879"/>
          <w:sz w:val="22"/>
          <w:szCs w:val="22"/>
        </w:rPr>
        <w:t>nd 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32FF8815"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w:t>
      </w:r>
      <w:r w:rsidR="00A97F47">
        <w:rPr>
          <w:rFonts w:ascii="Arial" w:eastAsiaTheme="minorEastAsia" w:hAnsi="Arial" w:cs="Arial"/>
          <w:color w:val="2A3B4C"/>
          <w:sz w:val="21"/>
          <w:szCs w:val="21"/>
        </w:rPr>
        <w:t xml:space="preserve"> 37.5 </w:t>
      </w:r>
      <w:r w:rsidRPr="002F3BC3">
        <w:rPr>
          <w:rFonts w:ascii="Arial" w:eastAsiaTheme="minorEastAsia" w:hAnsi="Arial" w:cs="Arial"/>
          <w:color w:val="2A3B4C"/>
          <w:sz w:val="21"/>
          <w:szCs w:val="21"/>
        </w:rPr>
        <w:t>hours, 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43717E00" w:rsidR="00A142C9" w:rsidRPr="00A142C9" w:rsidRDefault="00A142C9"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Your base will be</w:t>
      </w:r>
      <w:r w:rsidR="00A97F47">
        <w:rPr>
          <w:rFonts w:ascii="Arial" w:eastAsiaTheme="minorEastAsia" w:hAnsi="Arial" w:cs="Arial"/>
          <w:color w:val="2A3B4C"/>
          <w:sz w:val="21"/>
          <w:szCs w:val="21"/>
        </w:rPr>
        <w:t xml:space="preserve"> </w:t>
      </w:r>
      <w:proofErr w:type="spellStart"/>
      <w:r w:rsidR="00A97F47">
        <w:rPr>
          <w:rFonts w:ascii="Arial" w:eastAsiaTheme="minorEastAsia" w:hAnsi="Arial" w:cs="Arial"/>
          <w:color w:val="2A3B4C"/>
          <w:sz w:val="21"/>
          <w:szCs w:val="21"/>
        </w:rPr>
        <w:t>Breckland</w:t>
      </w:r>
      <w:proofErr w:type="spellEnd"/>
      <w:r w:rsidR="00A97F47">
        <w:rPr>
          <w:rFonts w:ascii="Arial" w:eastAsiaTheme="minorEastAsia" w:hAnsi="Arial" w:cs="Arial"/>
          <w:color w:val="2A3B4C"/>
          <w:sz w:val="21"/>
          <w:szCs w:val="21"/>
        </w:rPr>
        <w:t xml:space="preserve"> or King’s Lynn, with periodic visits to the Hub in Norwich.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465E8D34"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w:t>
      </w:r>
      <w:r w:rsidR="00A97F47">
        <w:rPr>
          <w:rFonts w:ascii="Arial" w:eastAsiaTheme="minorEastAsia" w:hAnsi="Arial" w:cs="Arial"/>
          <w:color w:val="2A3B4C"/>
          <w:sz w:val="21"/>
          <w:szCs w:val="21"/>
        </w:rPr>
        <w:t>Ormiston Families G</w:t>
      </w:r>
      <w:r w:rsidRPr="002F3BC3">
        <w:rPr>
          <w:rFonts w:ascii="Arial" w:eastAsiaTheme="minorEastAsia" w:hAnsi="Arial" w:cs="Arial"/>
          <w:color w:val="2A3B4C"/>
          <w:sz w:val="21"/>
          <w:szCs w:val="21"/>
        </w:rPr>
        <w:t>rade</w:t>
      </w:r>
      <w:r w:rsidR="00A97F47">
        <w:rPr>
          <w:rFonts w:ascii="Arial" w:eastAsiaTheme="minorEastAsia" w:hAnsi="Arial" w:cs="Arial"/>
          <w:color w:val="2A3B4C"/>
          <w:sz w:val="21"/>
          <w:szCs w:val="21"/>
        </w:rPr>
        <w:t xml:space="preserve"> 7 Point 27</w:t>
      </w:r>
      <w:r w:rsidRPr="002F3BC3">
        <w:rPr>
          <w:rFonts w:ascii="Arial" w:eastAsiaTheme="minorEastAsia" w:hAnsi="Arial" w:cs="Arial"/>
          <w:color w:val="2A3B4C"/>
          <w:sz w:val="21"/>
          <w:szCs w:val="21"/>
        </w:rPr>
        <w:t xml:space="preserve">, </w:t>
      </w:r>
      <w:r w:rsidR="00A97F47">
        <w:rPr>
          <w:rFonts w:ascii="Arial" w:eastAsiaTheme="minorEastAsia" w:hAnsi="Arial" w:cs="Arial"/>
          <w:color w:val="2A3B4C"/>
          <w:sz w:val="21"/>
          <w:szCs w:val="21"/>
        </w:rPr>
        <w:t xml:space="preserve">£25,656.00 </w:t>
      </w:r>
      <w:r w:rsidRPr="002F3BC3">
        <w:rPr>
          <w:rFonts w:ascii="Arial" w:eastAsiaTheme="minorEastAsia" w:hAnsi="Arial" w:cs="Arial"/>
          <w:color w:val="2A3B4C"/>
          <w:sz w:val="21"/>
          <w:szCs w:val="21"/>
        </w:rPr>
        <w:t>per annum</w:t>
      </w:r>
      <w:r>
        <w:rPr>
          <w:rFonts w:ascii="Arial" w:eastAsiaTheme="minorEastAsia" w:hAnsi="Arial" w:cs="Arial"/>
          <w:color w:val="2A3B4C"/>
          <w:sz w:val="21"/>
          <w:szCs w:val="21"/>
        </w:rPr>
        <w:t>, based on</w:t>
      </w:r>
      <w:r w:rsidR="00A97F47">
        <w:rPr>
          <w:rFonts w:ascii="Arial" w:eastAsiaTheme="minorEastAsia" w:hAnsi="Arial" w:cs="Arial"/>
          <w:color w:val="2A3B4C"/>
          <w:sz w:val="21"/>
          <w:szCs w:val="21"/>
        </w:rPr>
        <w:t xml:space="preserve"> 37.5 </w:t>
      </w:r>
      <w:r>
        <w:rPr>
          <w:rFonts w:ascii="Arial" w:eastAsiaTheme="minorEastAsia" w:hAnsi="Arial" w:cs="Arial"/>
          <w:color w:val="2A3B4C"/>
          <w:sz w:val="21"/>
          <w:szCs w:val="21"/>
        </w:rPr>
        <w:t xml:space="preserve">hours per week.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47495393" w14:textId="4CE9AAF1"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 xml:space="preserve">Progressing through your </w:t>
      </w:r>
      <w:r w:rsidR="00FA5810">
        <w:rPr>
          <w:rFonts w:ascii="Arial" w:eastAsiaTheme="minorEastAsia" w:hAnsi="Arial" w:cs="Arial"/>
          <w:b/>
          <w:bCs/>
          <w:color w:val="00A879"/>
          <w:sz w:val="22"/>
          <w:szCs w:val="22"/>
        </w:rPr>
        <w:t>G</w:t>
      </w:r>
      <w:r w:rsidRPr="00A142C9">
        <w:rPr>
          <w:rFonts w:ascii="Arial" w:eastAsiaTheme="minorEastAsia" w:hAnsi="Arial" w:cs="Arial"/>
          <w:b/>
          <w:bCs/>
          <w:color w:val="00A879"/>
          <w:sz w:val="22"/>
          <w:szCs w:val="22"/>
        </w:rPr>
        <w:t>rade:</w:t>
      </w:r>
    </w:p>
    <w:p w14:paraId="56FA3CE6" w14:textId="77777777" w:rsidR="00FA5810" w:rsidRPr="00FA5810" w:rsidRDefault="00FA5810" w:rsidP="00A142C9">
      <w:pPr>
        <w:pStyle w:val="BodyText"/>
        <w:rPr>
          <w:rFonts w:ascii="Arial" w:eastAsiaTheme="minorEastAsia" w:hAnsi="Arial" w:cs="Arial"/>
          <w:b/>
          <w:bCs/>
          <w:color w:val="00A879"/>
          <w:szCs w:val="16"/>
        </w:rPr>
      </w:pPr>
    </w:p>
    <w:p w14:paraId="6317F894"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Pr>
          <w:rFonts w:ascii="Arial" w:eastAsiaTheme="minorEastAsia" w:hAnsi="Arial" w:cs="Arial"/>
          <w:color w:val="2A3B4C"/>
          <w:sz w:val="21"/>
          <w:szCs w:val="21"/>
        </w:rPr>
        <w:t>1</w:t>
      </w:r>
      <w:r w:rsidRPr="00A142C9">
        <w:rPr>
          <w:rFonts w:ascii="Arial" w:eastAsiaTheme="minorEastAsia" w:hAnsi="Arial" w:cs="Arial"/>
          <w:color w:val="2A3B4C"/>
          <w:sz w:val="21"/>
          <w:szCs w:val="21"/>
          <w:vertAlign w:val="superscript"/>
        </w:rPr>
        <w:t>st</w:t>
      </w:r>
      <w:proofErr w:type="gramEnd"/>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April.</w:t>
      </w: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7F4A6D7C"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Ormiston Families positively encourages the use of technology to communicate and engage but in this </w:t>
      </w:r>
      <w:proofErr w:type="gramStart"/>
      <w:r w:rsidRPr="00FA5810">
        <w:rPr>
          <w:rFonts w:ascii="Arial" w:eastAsiaTheme="minorEastAsia" w:hAnsi="Arial" w:cs="Arial"/>
          <w:color w:val="2A3B4C"/>
          <w:sz w:val="21"/>
          <w:szCs w:val="21"/>
        </w:rPr>
        <w:t>role</w:t>
      </w:r>
      <w:proofErr w:type="gramEnd"/>
      <w:r w:rsidR="009D1A80">
        <w:rPr>
          <w:rFonts w:ascii="Arial" w:eastAsiaTheme="minorEastAsia" w:hAnsi="Arial" w:cs="Arial"/>
          <w:color w:val="2A3B4C"/>
          <w:sz w:val="21"/>
          <w:szCs w:val="21"/>
        </w:rPr>
        <w:t xml:space="preserve"> you will need to </w:t>
      </w:r>
      <w:r w:rsidRPr="00FA5810">
        <w:rPr>
          <w:rFonts w:ascii="Arial" w:eastAsiaTheme="minorEastAsia" w:hAnsi="Arial" w:cs="Arial"/>
          <w:color w:val="2A3B4C"/>
          <w:sz w:val="21"/>
          <w:szCs w:val="21"/>
        </w:rPr>
        <w:t xml:space="preserve">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471C7E9D" w14:textId="382464BE" w:rsidR="006D12C9" w:rsidRPr="003E2D58" w:rsidRDefault="0079682A" w:rsidP="007001AA">
      <w:pPr>
        <w:pStyle w:val="OrmistonJobDescriptionSubtitle"/>
        <w:rPr>
          <w:color w:val="0F243E" w:themeColor="text2" w:themeShade="80"/>
        </w:rPr>
      </w:pPr>
      <w:r w:rsidRPr="00A142C9">
        <w:rPr>
          <w:color w:val="00A878"/>
        </w:rPr>
        <w:t>Job Title:</w:t>
      </w:r>
      <w:r w:rsidRPr="00A142C9">
        <w:rPr>
          <w:color w:val="00A878"/>
        </w:rPr>
        <w:tab/>
      </w:r>
      <w:r w:rsidR="00B13010" w:rsidRPr="003E2D58">
        <w:rPr>
          <w:color w:val="0F243E" w:themeColor="text2" w:themeShade="80"/>
        </w:rPr>
        <w:t>Qualified EMHP / CWP</w:t>
      </w:r>
      <w:r w:rsidR="006D12C9" w:rsidRPr="004858A0">
        <w:rPr>
          <w:rFonts w:ascii="Arial Bold" w:hAnsi="Arial Bold" w:cs="Arial Bold"/>
          <w:b w:val="0"/>
          <w:bCs/>
          <w:color w:val="auto"/>
        </w:rPr>
        <w:br/>
      </w:r>
      <w:r w:rsidRPr="00A142C9">
        <w:rPr>
          <w:color w:val="00A878"/>
        </w:rPr>
        <w:t>Service:</w:t>
      </w:r>
      <w:r w:rsidRPr="00A142C9">
        <w:rPr>
          <w:color w:val="00A878"/>
        </w:rPr>
        <w:tab/>
      </w:r>
      <w:r w:rsidR="00B13010" w:rsidRPr="003E2D58">
        <w:rPr>
          <w:color w:val="0F243E" w:themeColor="text2" w:themeShade="80"/>
        </w:rPr>
        <w:t>Mental Health Support Teams in Schools</w:t>
      </w:r>
      <w:r w:rsidR="006D12C9" w:rsidRPr="00A142C9">
        <w:rPr>
          <w:color w:val="00A878"/>
        </w:rPr>
        <w:br/>
      </w:r>
      <w:r w:rsidRPr="00A142C9">
        <w:rPr>
          <w:color w:val="00A878"/>
        </w:rPr>
        <w:t>Location:</w:t>
      </w:r>
      <w:r>
        <w:tab/>
      </w:r>
      <w:r w:rsidR="00B13010" w:rsidRPr="003E2D58">
        <w:rPr>
          <w:color w:val="0F243E" w:themeColor="text2" w:themeShade="80"/>
        </w:rPr>
        <w:t xml:space="preserve">King’s Lynn or </w:t>
      </w:r>
      <w:proofErr w:type="spellStart"/>
      <w:r w:rsidR="00B13010" w:rsidRPr="003E2D58">
        <w:rPr>
          <w:color w:val="0F243E" w:themeColor="text2" w:themeShade="80"/>
        </w:rPr>
        <w:t>Breckland</w:t>
      </w:r>
      <w:proofErr w:type="spellEnd"/>
      <w:r w:rsidR="00B13010" w:rsidRPr="003E2D58">
        <w:rPr>
          <w:color w:val="0F243E" w:themeColor="text2" w:themeShade="80"/>
        </w:rPr>
        <w:t xml:space="preserve"> (Please can applicants stipulate in their personal statement which location they are applying for)</w:t>
      </w:r>
    </w:p>
    <w:p w14:paraId="2B323137" w14:textId="2BC5C6FD" w:rsidR="007856DB" w:rsidRDefault="007856DB" w:rsidP="007856DB">
      <w:pPr>
        <w:pStyle w:val="OrmistonBody12pt"/>
      </w:pPr>
    </w:p>
    <w:p w14:paraId="3F96DF33" w14:textId="389D17A3" w:rsidR="006952DB" w:rsidRPr="00A142C9" w:rsidRDefault="00C35BFD" w:rsidP="00BC61F9">
      <w:pPr>
        <w:pStyle w:val="OrmistonSubtitle12pt"/>
        <w:rPr>
          <w:color w:val="00A879"/>
        </w:rPr>
      </w:pPr>
      <w:r w:rsidRPr="00A142C9">
        <w:rPr>
          <w:color w:val="00A879"/>
        </w:rPr>
        <w:t>Job purpose</w:t>
      </w:r>
      <w:r w:rsidR="00E33736" w:rsidRPr="00A142C9">
        <w:rPr>
          <w:color w:val="00A879"/>
        </w:rPr>
        <w:t>:</w:t>
      </w:r>
    </w:p>
    <w:p w14:paraId="18497697" w14:textId="0CDBAE5C" w:rsidR="002F3BC3" w:rsidRPr="003E2D58" w:rsidRDefault="00B13010" w:rsidP="002F3BC3">
      <w:pPr>
        <w:rPr>
          <w:rFonts w:ascii="Arial" w:hAnsi="Arial" w:cs="Arial"/>
          <w:color w:val="0F243E" w:themeColor="text2" w:themeShade="80"/>
          <w:sz w:val="21"/>
          <w:szCs w:val="21"/>
        </w:rPr>
      </w:pPr>
      <w:r w:rsidRPr="003E2D58">
        <w:rPr>
          <w:rFonts w:ascii="Arial" w:hAnsi="Arial" w:cs="Arial"/>
          <w:color w:val="0F243E" w:themeColor="text2" w:themeShade="80"/>
          <w:sz w:val="21"/>
          <w:szCs w:val="21"/>
        </w:rPr>
        <w:t>The post holder will deliver low intensity, CBT-informed interventions, as part of a whole school approach to improving children and young people’s mental health.</w:t>
      </w:r>
    </w:p>
    <w:p w14:paraId="40EE2617" w14:textId="77777777" w:rsidR="00007179" w:rsidRPr="004858A0" w:rsidRDefault="00007179" w:rsidP="007856DB">
      <w:pPr>
        <w:pStyle w:val="OrmistonSubtitle12pt"/>
        <w:rPr>
          <w:rFonts w:ascii="Arial" w:eastAsia="Calibri" w:hAnsi="Arial" w:cs="Arial"/>
          <w:bCs w:val="0"/>
          <w:sz w:val="16"/>
          <w:szCs w:val="16"/>
          <w:lang w:eastAsia="en-GB"/>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tbl>
      <w:tblPr>
        <w:tblStyle w:val="TableGrid"/>
        <w:tblW w:w="10060" w:type="dxa"/>
        <w:tblLook w:val="04A0" w:firstRow="1" w:lastRow="0" w:firstColumn="1" w:lastColumn="0" w:noHBand="0" w:noVBand="1"/>
      </w:tblPr>
      <w:tblGrid>
        <w:gridCol w:w="1668"/>
        <w:gridCol w:w="8392"/>
      </w:tblGrid>
      <w:tr w:rsidR="00B13010" w:rsidRPr="00D92FDD" w14:paraId="614D06C9" w14:textId="77777777" w:rsidTr="002C227E">
        <w:trPr>
          <w:trHeight w:val="525"/>
          <w:tblHeader/>
        </w:trPr>
        <w:tc>
          <w:tcPr>
            <w:tcW w:w="1668" w:type="dxa"/>
          </w:tcPr>
          <w:p w14:paraId="4FB600E2" w14:textId="52593434" w:rsidR="00B13010" w:rsidRPr="003E2D58" w:rsidRDefault="00B13010" w:rsidP="002C227E">
            <w:pPr>
              <w:rPr>
                <w:b/>
                <w:color w:val="0F243E" w:themeColor="text2" w:themeShade="80"/>
              </w:rPr>
            </w:pPr>
          </w:p>
        </w:tc>
        <w:tc>
          <w:tcPr>
            <w:tcW w:w="8392" w:type="dxa"/>
          </w:tcPr>
          <w:p w14:paraId="144CCC79" w14:textId="3EB35E99" w:rsidR="00B13010" w:rsidRPr="003E2D58" w:rsidRDefault="00B13010" w:rsidP="002C227E">
            <w:pPr>
              <w:rPr>
                <w:b/>
                <w:color w:val="0F243E" w:themeColor="text2" w:themeShade="80"/>
                <w:sz w:val="20"/>
              </w:rPr>
            </w:pPr>
            <w:r w:rsidRPr="003E2D58">
              <w:rPr>
                <w:b/>
                <w:color w:val="0F243E" w:themeColor="text2" w:themeShade="80"/>
                <w:sz w:val="20"/>
              </w:rPr>
              <w:t>Qualified EMHP / CWP</w:t>
            </w:r>
          </w:p>
        </w:tc>
      </w:tr>
      <w:tr w:rsidR="00B13010" w:rsidRPr="00D92FDD" w14:paraId="75C1C35D" w14:textId="77777777" w:rsidTr="002C227E">
        <w:tc>
          <w:tcPr>
            <w:tcW w:w="1668" w:type="dxa"/>
          </w:tcPr>
          <w:p w14:paraId="630A3C23" w14:textId="77777777" w:rsidR="00B13010" w:rsidRPr="003E2D58" w:rsidRDefault="00B13010" w:rsidP="002C227E">
            <w:pPr>
              <w:rPr>
                <w:color w:val="0F243E" w:themeColor="text2" w:themeShade="80"/>
              </w:rPr>
            </w:pPr>
            <w:r w:rsidRPr="003E2D58">
              <w:rPr>
                <w:color w:val="0F243E" w:themeColor="text2" w:themeShade="80"/>
              </w:rPr>
              <w:t>Key Deliverables</w:t>
            </w:r>
          </w:p>
        </w:tc>
        <w:tc>
          <w:tcPr>
            <w:tcW w:w="8392" w:type="dxa"/>
          </w:tcPr>
          <w:p w14:paraId="1AB1F2DE" w14:textId="77777777" w:rsidR="00B13010" w:rsidRPr="003E2D58" w:rsidRDefault="00B13010" w:rsidP="002C227E">
            <w:pPr>
              <w:spacing w:after="120"/>
              <w:rPr>
                <w:color w:val="0F243E" w:themeColor="text2" w:themeShade="80"/>
                <w:sz w:val="21"/>
                <w:szCs w:val="21"/>
              </w:rPr>
            </w:pPr>
            <w:bookmarkStart w:id="8" w:name="_Hlk85100005"/>
            <w:r w:rsidRPr="003E2D58">
              <w:rPr>
                <w:color w:val="0F243E" w:themeColor="text2" w:themeShade="80"/>
                <w:sz w:val="21"/>
                <w:szCs w:val="21"/>
              </w:rPr>
              <w:t xml:space="preserve">To allow the postholder, with appropriate supervision, to work as an autonomous and responsible practitioner as their training affords and within the scope of their local job description, to engage </w:t>
            </w:r>
            <w:proofErr w:type="gramStart"/>
            <w:r w:rsidRPr="003E2D58">
              <w:rPr>
                <w:color w:val="0F243E" w:themeColor="text2" w:themeShade="80"/>
                <w:sz w:val="21"/>
                <w:szCs w:val="21"/>
              </w:rPr>
              <w:t>in;</w:t>
            </w:r>
            <w:proofErr w:type="gramEnd"/>
          </w:p>
          <w:p w14:paraId="37BEF48F" w14:textId="77777777" w:rsidR="00B13010" w:rsidRPr="003E2D58" w:rsidRDefault="00B13010" w:rsidP="00B13010">
            <w:pPr>
              <w:numPr>
                <w:ilvl w:val="0"/>
                <w:numId w:val="38"/>
              </w:numPr>
              <w:spacing w:after="120"/>
              <w:contextualSpacing/>
              <w:rPr>
                <w:color w:val="0F243E" w:themeColor="text2" w:themeShade="80"/>
                <w:sz w:val="21"/>
                <w:szCs w:val="21"/>
              </w:rPr>
            </w:pPr>
            <w:r w:rsidRPr="003E2D58">
              <w:rPr>
                <w:color w:val="0F243E" w:themeColor="text2" w:themeShade="80"/>
                <w:sz w:val="21"/>
                <w:szCs w:val="21"/>
              </w:rPr>
              <w:t>Delivering evidence-based, CBT-informed interventions for children and young people in education setting with mild to moderate mental health problems</w:t>
            </w:r>
          </w:p>
          <w:p w14:paraId="33B8D77C" w14:textId="77777777" w:rsidR="00B13010" w:rsidRPr="003E2D58" w:rsidRDefault="00B13010" w:rsidP="00B13010">
            <w:pPr>
              <w:numPr>
                <w:ilvl w:val="0"/>
                <w:numId w:val="38"/>
              </w:numPr>
              <w:spacing w:after="120"/>
              <w:contextualSpacing/>
              <w:rPr>
                <w:color w:val="0F243E" w:themeColor="text2" w:themeShade="80"/>
                <w:sz w:val="21"/>
                <w:szCs w:val="21"/>
              </w:rPr>
            </w:pPr>
            <w:r w:rsidRPr="003E2D58">
              <w:rPr>
                <w:color w:val="0F243E" w:themeColor="text2" w:themeShade="80"/>
                <w:sz w:val="21"/>
                <w:szCs w:val="21"/>
              </w:rPr>
              <w:t>Helping children and young people within these settings who present with more severe problems to rapidly access more specialist services</w:t>
            </w:r>
          </w:p>
          <w:p w14:paraId="552F791A" w14:textId="77777777" w:rsidR="00B13010" w:rsidRPr="003E2D58" w:rsidRDefault="00B13010" w:rsidP="00B13010">
            <w:pPr>
              <w:numPr>
                <w:ilvl w:val="0"/>
                <w:numId w:val="38"/>
              </w:numPr>
              <w:spacing w:after="120"/>
              <w:contextualSpacing/>
              <w:rPr>
                <w:color w:val="0F243E" w:themeColor="text2" w:themeShade="80"/>
                <w:sz w:val="21"/>
                <w:szCs w:val="21"/>
              </w:rPr>
            </w:pPr>
            <w:r w:rsidRPr="003E2D58">
              <w:rPr>
                <w:color w:val="0F243E" w:themeColor="text2" w:themeShade="80"/>
                <w:sz w:val="21"/>
                <w:szCs w:val="21"/>
              </w:rPr>
              <w:t>Supporting and facilitating staff in education settings to identify and where appropriate manage issues related to mental health and wellbeing</w:t>
            </w:r>
          </w:p>
          <w:p w14:paraId="1945B81C" w14:textId="77777777" w:rsidR="00B13010" w:rsidRPr="003E2D58" w:rsidRDefault="00B13010" w:rsidP="00B13010">
            <w:pPr>
              <w:numPr>
                <w:ilvl w:val="0"/>
                <w:numId w:val="38"/>
              </w:numPr>
              <w:spacing w:after="120"/>
              <w:contextualSpacing/>
              <w:rPr>
                <w:color w:val="0F243E" w:themeColor="text2" w:themeShade="80"/>
                <w:sz w:val="21"/>
                <w:szCs w:val="21"/>
              </w:rPr>
            </w:pPr>
            <w:r w:rsidRPr="003E2D58">
              <w:rPr>
                <w:color w:val="0F243E" w:themeColor="text2" w:themeShade="80"/>
                <w:sz w:val="21"/>
                <w:szCs w:val="21"/>
              </w:rPr>
              <w:t>Working with and within education environments to afford better access to specialist mental health services</w:t>
            </w:r>
          </w:p>
          <w:p w14:paraId="22B4BF99" w14:textId="77777777" w:rsidR="00B13010" w:rsidRPr="003E2D58" w:rsidRDefault="00B13010" w:rsidP="002C227E">
            <w:pPr>
              <w:spacing w:after="120"/>
              <w:ind w:left="720"/>
              <w:contextualSpacing/>
              <w:rPr>
                <w:color w:val="0F243E" w:themeColor="text2" w:themeShade="80"/>
                <w:sz w:val="21"/>
                <w:szCs w:val="21"/>
              </w:rPr>
            </w:pPr>
          </w:p>
          <w:p w14:paraId="0B27179E" w14:textId="77777777" w:rsidR="00B13010" w:rsidRPr="003E2D58" w:rsidRDefault="00B13010" w:rsidP="002C227E">
            <w:pPr>
              <w:spacing w:after="120"/>
              <w:rPr>
                <w:color w:val="0F243E" w:themeColor="text2" w:themeShade="80"/>
                <w:sz w:val="20"/>
              </w:rPr>
            </w:pPr>
            <w:r w:rsidRPr="003E2D58">
              <w:rPr>
                <w:color w:val="0F243E" w:themeColor="text2" w:themeShade="80"/>
                <w:sz w:val="21"/>
                <w:szCs w:val="21"/>
              </w:rPr>
              <w:t xml:space="preserve">And to use the acquired skills, knowledge and abilities to deliver a service based within education settings that builds on and </w:t>
            </w:r>
            <w:proofErr w:type="gramStart"/>
            <w:r w:rsidRPr="003E2D58">
              <w:rPr>
                <w:color w:val="0F243E" w:themeColor="text2" w:themeShade="80"/>
                <w:sz w:val="21"/>
                <w:szCs w:val="21"/>
              </w:rPr>
              <w:t>reinforces, but</w:t>
            </w:r>
            <w:proofErr w:type="gramEnd"/>
            <w:r w:rsidRPr="003E2D58">
              <w:rPr>
                <w:color w:val="0F243E" w:themeColor="text2" w:themeShade="80"/>
                <w:sz w:val="21"/>
                <w:szCs w:val="21"/>
              </w:rPr>
              <w:t xml:space="preserve"> does not replace those initiatives that already exist within these environments.</w:t>
            </w:r>
            <w:bookmarkEnd w:id="8"/>
          </w:p>
        </w:tc>
      </w:tr>
      <w:tr w:rsidR="00B13010" w:rsidRPr="00D92FDD" w14:paraId="6BFBDF20" w14:textId="77777777" w:rsidTr="002C227E">
        <w:tc>
          <w:tcPr>
            <w:tcW w:w="1668" w:type="dxa"/>
          </w:tcPr>
          <w:p w14:paraId="2570C51E" w14:textId="77777777" w:rsidR="00B13010" w:rsidRPr="003E2D58" w:rsidRDefault="00B13010" w:rsidP="002C227E">
            <w:pPr>
              <w:rPr>
                <w:color w:val="0F243E" w:themeColor="text2" w:themeShade="80"/>
              </w:rPr>
            </w:pPr>
            <w:r w:rsidRPr="003E2D58">
              <w:rPr>
                <w:color w:val="0F243E" w:themeColor="text2" w:themeShade="80"/>
              </w:rPr>
              <w:t>Examples of Key Relationships</w:t>
            </w:r>
          </w:p>
        </w:tc>
        <w:tc>
          <w:tcPr>
            <w:tcW w:w="8392" w:type="dxa"/>
          </w:tcPr>
          <w:p w14:paraId="7246CCF6" w14:textId="77777777" w:rsidR="00B13010" w:rsidRPr="003E2D58" w:rsidRDefault="00B13010" w:rsidP="002C227E">
            <w:pPr>
              <w:spacing w:after="120"/>
              <w:rPr>
                <w:color w:val="0F243E" w:themeColor="text2" w:themeShade="80"/>
                <w:sz w:val="21"/>
                <w:szCs w:val="21"/>
              </w:rPr>
            </w:pPr>
            <w:r w:rsidRPr="003E2D58">
              <w:rPr>
                <w:color w:val="0F243E" w:themeColor="text2" w:themeShade="80"/>
                <w:sz w:val="21"/>
                <w:szCs w:val="21"/>
              </w:rPr>
              <w:t>Designated Mental Health Lead in education setting</w:t>
            </w:r>
          </w:p>
          <w:p w14:paraId="2131FAFF" w14:textId="77777777" w:rsidR="00B13010" w:rsidRPr="003E2D58" w:rsidRDefault="00B13010" w:rsidP="002C227E">
            <w:pPr>
              <w:spacing w:after="120"/>
              <w:rPr>
                <w:color w:val="0F243E" w:themeColor="text2" w:themeShade="80"/>
                <w:sz w:val="21"/>
                <w:szCs w:val="21"/>
              </w:rPr>
            </w:pPr>
            <w:r w:rsidRPr="003E2D58">
              <w:rPr>
                <w:color w:val="0F243E" w:themeColor="text2" w:themeShade="80"/>
                <w:sz w:val="21"/>
                <w:szCs w:val="21"/>
              </w:rPr>
              <w:t>Identified school settings</w:t>
            </w:r>
          </w:p>
          <w:p w14:paraId="1576C568" w14:textId="77777777" w:rsidR="00B13010" w:rsidRPr="003E2D58" w:rsidRDefault="00B13010" w:rsidP="002C227E">
            <w:pPr>
              <w:spacing w:after="120"/>
              <w:rPr>
                <w:color w:val="0F243E" w:themeColor="text2" w:themeShade="80"/>
                <w:sz w:val="21"/>
                <w:szCs w:val="21"/>
              </w:rPr>
            </w:pPr>
            <w:r w:rsidRPr="003E2D58">
              <w:rPr>
                <w:color w:val="0F243E" w:themeColor="text2" w:themeShade="80"/>
                <w:sz w:val="21"/>
                <w:szCs w:val="21"/>
              </w:rPr>
              <w:t>Mental Health Support Team</w:t>
            </w:r>
          </w:p>
          <w:p w14:paraId="087FE62D" w14:textId="77777777" w:rsidR="00B13010" w:rsidRPr="003E2D58" w:rsidRDefault="00B13010" w:rsidP="002C227E">
            <w:pPr>
              <w:spacing w:after="120"/>
              <w:rPr>
                <w:color w:val="0F243E" w:themeColor="text2" w:themeShade="80"/>
                <w:sz w:val="21"/>
                <w:szCs w:val="21"/>
              </w:rPr>
            </w:pPr>
            <w:r w:rsidRPr="003E2D58">
              <w:rPr>
                <w:color w:val="0F243E" w:themeColor="text2" w:themeShade="80"/>
                <w:sz w:val="21"/>
                <w:szCs w:val="21"/>
              </w:rPr>
              <w:t>Line Manager</w:t>
            </w:r>
          </w:p>
          <w:p w14:paraId="2DADF316" w14:textId="77777777" w:rsidR="00B13010" w:rsidRPr="003E2D58" w:rsidRDefault="00B13010" w:rsidP="002C227E">
            <w:pPr>
              <w:spacing w:after="120"/>
              <w:rPr>
                <w:color w:val="0F243E" w:themeColor="text2" w:themeShade="80"/>
                <w:sz w:val="21"/>
                <w:szCs w:val="21"/>
              </w:rPr>
            </w:pPr>
            <w:r w:rsidRPr="003E2D58">
              <w:rPr>
                <w:color w:val="0F243E" w:themeColor="text2" w:themeShade="80"/>
                <w:sz w:val="21"/>
                <w:szCs w:val="21"/>
              </w:rPr>
              <w:t>Clinical Supervisor</w:t>
            </w:r>
          </w:p>
          <w:p w14:paraId="05536950" w14:textId="77777777" w:rsidR="00B13010" w:rsidRPr="003E2D58" w:rsidRDefault="00B13010" w:rsidP="002C227E">
            <w:pPr>
              <w:spacing w:after="120"/>
              <w:rPr>
                <w:color w:val="0F243E" w:themeColor="text2" w:themeShade="80"/>
                <w:sz w:val="20"/>
              </w:rPr>
            </w:pPr>
            <w:r w:rsidRPr="003E2D58">
              <w:rPr>
                <w:color w:val="0F243E" w:themeColor="text2" w:themeShade="80"/>
                <w:sz w:val="21"/>
                <w:szCs w:val="21"/>
              </w:rPr>
              <w:t>Local CAMHS providers</w:t>
            </w:r>
          </w:p>
        </w:tc>
      </w:tr>
      <w:tr w:rsidR="00B13010" w:rsidRPr="00D92FDD" w14:paraId="3377F68F" w14:textId="77777777" w:rsidTr="002C227E">
        <w:tc>
          <w:tcPr>
            <w:tcW w:w="1668" w:type="dxa"/>
          </w:tcPr>
          <w:p w14:paraId="38ABD040" w14:textId="77777777" w:rsidR="00B13010" w:rsidRPr="003E2D58" w:rsidRDefault="00B13010" w:rsidP="002C227E">
            <w:pPr>
              <w:rPr>
                <w:color w:val="0F243E" w:themeColor="text2" w:themeShade="80"/>
              </w:rPr>
            </w:pPr>
            <w:r w:rsidRPr="003E2D58">
              <w:rPr>
                <w:color w:val="0F243E" w:themeColor="text2" w:themeShade="80"/>
              </w:rPr>
              <w:t>Therapeutic</w:t>
            </w:r>
          </w:p>
          <w:p w14:paraId="32610A62" w14:textId="77777777" w:rsidR="00B13010" w:rsidRPr="003E2D58" w:rsidRDefault="00B13010" w:rsidP="002C227E">
            <w:pPr>
              <w:rPr>
                <w:color w:val="0F243E" w:themeColor="text2" w:themeShade="80"/>
              </w:rPr>
            </w:pPr>
            <w:r w:rsidRPr="003E2D58">
              <w:rPr>
                <w:color w:val="0F243E" w:themeColor="text2" w:themeShade="80"/>
              </w:rPr>
              <w:t>Assessment and Intervention</w:t>
            </w:r>
          </w:p>
        </w:tc>
        <w:tc>
          <w:tcPr>
            <w:tcW w:w="8392" w:type="dxa"/>
          </w:tcPr>
          <w:p w14:paraId="4FD810FE"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Assess and deliver outcome focused, evidence-based, CBT-informed interventions in educational settings for children and young people experiencing mild to moderate mental health difficulties, </w:t>
            </w:r>
            <w:proofErr w:type="gramStart"/>
            <w:r w:rsidRPr="003E2D58">
              <w:rPr>
                <w:color w:val="0F243E" w:themeColor="text2" w:themeShade="80"/>
                <w:sz w:val="21"/>
                <w:szCs w:val="21"/>
              </w:rPr>
              <w:t>working at all times</w:t>
            </w:r>
            <w:proofErr w:type="gramEnd"/>
            <w:r w:rsidRPr="003E2D58">
              <w:rPr>
                <w:color w:val="0F243E" w:themeColor="text2" w:themeShade="80"/>
                <w:sz w:val="21"/>
                <w:szCs w:val="21"/>
              </w:rPr>
              <w:t xml:space="preserve"> in collaboration with and giving respect to the education function of the setting in which the post-holder is deployed. </w:t>
            </w:r>
          </w:p>
          <w:p w14:paraId="2F10AD60"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Work in partnership to support children and young people experiencing mild to moderate mental health difficulties and their parents/carers, </w:t>
            </w:r>
            <w:proofErr w:type="gramStart"/>
            <w:r w:rsidRPr="003E2D58">
              <w:rPr>
                <w:color w:val="0F243E" w:themeColor="text2" w:themeShade="80"/>
                <w:sz w:val="21"/>
                <w:szCs w:val="21"/>
              </w:rPr>
              <w:t>families</w:t>
            </w:r>
            <w:proofErr w:type="gramEnd"/>
            <w:r w:rsidRPr="003E2D58">
              <w:rPr>
                <w:color w:val="0F243E" w:themeColor="text2" w:themeShade="80"/>
                <w:sz w:val="21"/>
                <w:szCs w:val="21"/>
              </w:rPr>
              <w:t xml:space="preserve"> and educators in the self-management of presenting difficulties. </w:t>
            </w:r>
          </w:p>
          <w:p w14:paraId="2DD8123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Work in effective, evidence-based partnership with children, young people, their </w:t>
            </w:r>
            <w:proofErr w:type="gramStart"/>
            <w:r w:rsidRPr="003E2D58">
              <w:rPr>
                <w:color w:val="0F243E" w:themeColor="text2" w:themeShade="80"/>
                <w:sz w:val="21"/>
                <w:szCs w:val="21"/>
              </w:rPr>
              <w:t>families</w:t>
            </w:r>
            <w:proofErr w:type="gramEnd"/>
            <w:r w:rsidRPr="003E2D58">
              <w:rPr>
                <w:color w:val="0F243E" w:themeColor="text2" w:themeShade="80"/>
                <w:sz w:val="21"/>
                <w:szCs w:val="21"/>
              </w:rPr>
              <w:t xml:space="preserve"> and their educators in the development of plans for the intervention and agreed outcomes.</w:t>
            </w:r>
          </w:p>
          <w:p w14:paraId="553EC53B"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Support and empower children, young people, their parents/carers and families and their educators to make informed choices about the interventions being offered. </w:t>
            </w:r>
          </w:p>
          <w:p w14:paraId="642143B2" w14:textId="77777777" w:rsidR="00B13010" w:rsidRPr="003E2D58" w:rsidRDefault="00B13010" w:rsidP="00B13010">
            <w:pPr>
              <w:numPr>
                <w:ilvl w:val="0"/>
                <w:numId w:val="39"/>
              </w:numPr>
              <w:spacing w:after="120"/>
              <w:contextualSpacing/>
              <w:rPr>
                <w:color w:val="0F243E" w:themeColor="text2" w:themeShade="80"/>
                <w:sz w:val="21"/>
                <w:szCs w:val="21"/>
              </w:rPr>
            </w:pPr>
            <w:proofErr w:type="gramStart"/>
            <w:r w:rsidRPr="003E2D58">
              <w:rPr>
                <w:color w:val="0F243E" w:themeColor="text2" w:themeShade="80"/>
                <w:sz w:val="21"/>
                <w:szCs w:val="21"/>
              </w:rPr>
              <w:lastRenderedPageBreak/>
              <w:t>Operate at all times</w:t>
            </w:r>
            <w:proofErr w:type="gramEnd"/>
            <w:r w:rsidRPr="003E2D58">
              <w:rPr>
                <w:color w:val="0F243E" w:themeColor="text2" w:themeShade="80"/>
                <w:sz w:val="21"/>
                <w:szCs w:val="21"/>
              </w:rPr>
              <w:t xml:space="preserve"> from an inclusive values base, which recognises and respects diversity. </w:t>
            </w:r>
          </w:p>
          <w:p w14:paraId="6B2EE6A4"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Accept referrals within educational settings according to agreed local and national and local protocols. </w:t>
            </w:r>
          </w:p>
          <w:p w14:paraId="01531FC3"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Undertake and record accurate assessments of risk and operate clear risk management processes in line with locally agreed procedures including the safeguarding protocols of the educational setting and Local Safeguarding Board guidance.</w:t>
            </w:r>
          </w:p>
          <w:p w14:paraId="6CF62AD1"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Adhere to all regulations, </w:t>
            </w:r>
            <w:proofErr w:type="gramStart"/>
            <w:r w:rsidRPr="003E2D58">
              <w:rPr>
                <w:color w:val="0F243E" w:themeColor="text2" w:themeShade="80"/>
                <w:sz w:val="21"/>
                <w:szCs w:val="21"/>
              </w:rPr>
              <w:t>processes</w:t>
            </w:r>
            <w:proofErr w:type="gramEnd"/>
            <w:r w:rsidRPr="003E2D58">
              <w:rPr>
                <w:color w:val="0F243E" w:themeColor="text2" w:themeShade="80"/>
                <w:sz w:val="21"/>
                <w:szCs w:val="21"/>
              </w:rPr>
              <w:t xml:space="preserve"> and procedures within the educational service to which the postholder is attached within the educational setting where the post-holder working including (but not limited to) HR policies, training requirements, referral protocols, and emergency procedures. Signpost referrals of children with more complex needs to a locally identified appropriate relevant service</w:t>
            </w:r>
          </w:p>
          <w:p w14:paraId="3AD58FDC"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Through case management, </w:t>
            </w:r>
            <w:proofErr w:type="gramStart"/>
            <w:r w:rsidRPr="003E2D58">
              <w:rPr>
                <w:color w:val="0F243E" w:themeColor="text2" w:themeShade="80"/>
                <w:sz w:val="21"/>
                <w:szCs w:val="21"/>
              </w:rPr>
              <w:t>supervision</w:t>
            </w:r>
            <w:proofErr w:type="gramEnd"/>
            <w:r w:rsidRPr="003E2D58">
              <w:rPr>
                <w:color w:val="0F243E" w:themeColor="text2" w:themeShade="80"/>
                <w:sz w:val="21"/>
                <w:szCs w:val="21"/>
              </w:rPr>
              <w:t xml:space="preserve"> and any other relevant local pathway, escalate cases where the level of need or risk is beyond the scope of practice of the postholder. </w:t>
            </w:r>
          </w:p>
          <w:p w14:paraId="2DFCBA9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Provide a range of information and support for evidence based psychological treatments, primarily guided self-help.</w:t>
            </w:r>
          </w:p>
          <w:p w14:paraId="538E5019"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Practice, evidence and demonstrate an ability to manage one’s own caseload in conjunction with the requirements of the team. </w:t>
            </w:r>
          </w:p>
          <w:p w14:paraId="15A3BFDA"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Attend multi-disciplinary and multi-agency meetings relating to referrals or children and young people in treatment, where appropriate. </w:t>
            </w:r>
          </w:p>
          <w:p w14:paraId="4603CFD5"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Keep clear, professionally coherent records of all activity in line with both health and education service protocols and use these records and outcome data to inform decision making.</w:t>
            </w:r>
          </w:p>
          <w:p w14:paraId="1B48FCB7"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Complete all requirements relating to data collection. </w:t>
            </w:r>
          </w:p>
          <w:p w14:paraId="5A13C641"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Assess and integrate issues relating to transitions, </w:t>
            </w:r>
            <w:proofErr w:type="gramStart"/>
            <w:r w:rsidRPr="003E2D58">
              <w:rPr>
                <w:color w:val="0F243E" w:themeColor="text2" w:themeShade="80"/>
                <w:sz w:val="21"/>
                <w:szCs w:val="21"/>
              </w:rPr>
              <w:t>education</w:t>
            </w:r>
            <w:proofErr w:type="gramEnd"/>
            <w:r w:rsidRPr="003E2D58">
              <w:rPr>
                <w:color w:val="0F243E" w:themeColor="text2" w:themeShade="80"/>
                <w:sz w:val="21"/>
                <w:szCs w:val="21"/>
              </w:rPr>
              <w:t xml:space="preserve"> and training/employment into the overall therapeutic process. </w:t>
            </w:r>
          </w:p>
          <w:p w14:paraId="43A99A48"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Work within a collaborative approach involving a range of relevant others when indicated. </w:t>
            </w:r>
          </w:p>
          <w:p w14:paraId="5C90A0DC"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Contribute to the development of individual or group clinical materials or training materials, and in addition to develop such materials independently as falls within own degree of competence, and under direction of the wider team.</w:t>
            </w:r>
          </w:p>
        </w:tc>
      </w:tr>
      <w:tr w:rsidR="00B13010" w:rsidRPr="00D92FDD" w14:paraId="76D32A38" w14:textId="77777777" w:rsidTr="002C227E">
        <w:tc>
          <w:tcPr>
            <w:tcW w:w="1668" w:type="dxa"/>
          </w:tcPr>
          <w:p w14:paraId="1C3A8F3D" w14:textId="77777777" w:rsidR="00B13010" w:rsidRPr="003E2D58" w:rsidRDefault="00B13010" w:rsidP="002C227E">
            <w:pPr>
              <w:rPr>
                <w:color w:val="0F243E" w:themeColor="text2" w:themeShade="80"/>
              </w:rPr>
            </w:pPr>
            <w:r w:rsidRPr="003E2D58">
              <w:rPr>
                <w:color w:val="0F243E" w:themeColor="text2" w:themeShade="80"/>
              </w:rPr>
              <w:lastRenderedPageBreak/>
              <w:t>Training &amp; Supervision</w:t>
            </w:r>
          </w:p>
        </w:tc>
        <w:tc>
          <w:tcPr>
            <w:tcW w:w="8392" w:type="dxa"/>
          </w:tcPr>
          <w:p w14:paraId="0D95CEFC"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Continue to apply learning gained on the training program directly to practice. </w:t>
            </w:r>
          </w:p>
          <w:p w14:paraId="47325963"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Prepare and present case load information to supervisors within the service on an agreed and scheduled basis to ensure safe practice and the governance obligations of the trainee, supervisor and service are delivered. </w:t>
            </w:r>
          </w:p>
          <w:p w14:paraId="719BFB83"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Respond to and implement supervision suggestions by supervisors in practice. </w:t>
            </w:r>
          </w:p>
          <w:p w14:paraId="080CB48C"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Engage in and respond to personal development supervision to improve competences and practice.</w:t>
            </w:r>
          </w:p>
          <w:p w14:paraId="6A771E5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To disseminate research and service evaluation findings in appropriate formats through agreed channels.</w:t>
            </w:r>
          </w:p>
        </w:tc>
      </w:tr>
      <w:tr w:rsidR="00B13010" w:rsidRPr="00D92FDD" w14:paraId="6E8B347D" w14:textId="77777777" w:rsidTr="002C227E">
        <w:tc>
          <w:tcPr>
            <w:tcW w:w="1668" w:type="dxa"/>
          </w:tcPr>
          <w:p w14:paraId="1E079EE8" w14:textId="77777777" w:rsidR="00B13010" w:rsidRPr="003E2D58" w:rsidRDefault="00B13010" w:rsidP="002C227E">
            <w:pPr>
              <w:rPr>
                <w:color w:val="0F243E" w:themeColor="text2" w:themeShade="80"/>
              </w:rPr>
            </w:pPr>
            <w:r w:rsidRPr="003E2D58">
              <w:rPr>
                <w:color w:val="0F243E" w:themeColor="text2" w:themeShade="80"/>
              </w:rPr>
              <w:t>Professional</w:t>
            </w:r>
          </w:p>
        </w:tc>
        <w:tc>
          <w:tcPr>
            <w:tcW w:w="8392" w:type="dxa"/>
          </w:tcPr>
          <w:p w14:paraId="2567E7CD"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Ensure the maintenance of standards of own professional practice according to both the postholder’s employer and the Higher Education Institution in which they are enrolled.</w:t>
            </w:r>
          </w:p>
          <w:p w14:paraId="1E345BD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Ensure appropriate adherence to any new recommendations or guidelines set by the relevant departments. </w:t>
            </w:r>
          </w:p>
          <w:p w14:paraId="59B3518B"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Ensure that confidentiality is always protected.</w:t>
            </w:r>
          </w:p>
          <w:p w14:paraId="4F4C1B8F"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Ensure that any risks or issues related to the safety and wellbeing of anyone the postholder comes into contact </w:t>
            </w:r>
            <w:proofErr w:type="gramStart"/>
            <w:r w:rsidRPr="003E2D58">
              <w:rPr>
                <w:color w:val="0F243E" w:themeColor="text2" w:themeShade="80"/>
                <w:sz w:val="21"/>
                <w:szCs w:val="21"/>
              </w:rPr>
              <w:t>with in</w:t>
            </w:r>
            <w:proofErr w:type="gramEnd"/>
            <w:r w:rsidRPr="003E2D58">
              <w:rPr>
                <w:color w:val="0F243E" w:themeColor="text2" w:themeShade="80"/>
                <w:sz w:val="21"/>
                <w:szCs w:val="21"/>
              </w:rPr>
              <w:t xml:space="preserve"> the course of their professional duties are communicated and shared with appropriate parties in order to maintain individual safety and the public interest. </w:t>
            </w:r>
          </w:p>
          <w:p w14:paraId="35CA2387"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Ensure clear objectives are identified, </w:t>
            </w:r>
            <w:proofErr w:type="gramStart"/>
            <w:r w:rsidRPr="003E2D58">
              <w:rPr>
                <w:color w:val="0F243E" w:themeColor="text2" w:themeShade="80"/>
                <w:sz w:val="21"/>
                <w:szCs w:val="21"/>
              </w:rPr>
              <w:t>discussed</w:t>
            </w:r>
            <w:proofErr w:type="gramEnd"/>
            <w:r w:rsidRPr="003E2D58">
              <w:rPr>
                <w:color w:val="0F243E" w:themeColor="text2" w:themeShade="80"/>
                <w:sz w:val="21"/>
                <w:szCs w:val="21"/>
              </w:rPr>
              <w:t xml:space="preserve"> and reviewed with supervisor and senior colleagues on a regular basis as part of continuing professional development. </w:t>
            </w:r>
          </w:p>
          <w:p w14:paraId="26C1BF1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lastRenderedPageBreak/>
              <w:t xml:space="preserve">Participate in individual performance review and respond to agreed objectives. </w:t>
            </w:r>
          </w:p>
          <w:p w14:paraId="71CBE4E3"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Keep all records up to date in relation to Continuous Professional Development and the requirements of the post and ensure personal development plans maintains up to date specialist knowledge of latest theoretical and service delivery models/developments. </w:t>
            </w:r>
          </w:p>
          <w:p w14:paraId="3618C004"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Attend relevant educational opportunities in line with identified professional objectives.</w:t>
            </w:r>
          </w:p>
        </w:tc>
      </w:tr>
    </w:tbl>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456B0BFF" w14:textId="72DCF8AC"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undertake any other reasonable duty, which is appropriate to the grade when requested by Senior Staff.</w:t>
      </w:r>
    </w:p>
    <w:p w14:paraId="4E254DC4" w14:textId="7777777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 xml:space="preserve">To be familiar with and comply with all Ormiston Families policies, procedures, </w:t>
      </w:r>
      <w:proofErr w:type="gramStart"/>
      <w:r w:rsidRPr="00FB0433">
        <w:rPr>
          <w:rFonts w:ascii="Arial" w:hAnsi="Arial" w:cs="Arial"/>
          <w:color w:val="2A3B4C"/>
          <w:sz w:val="21"/>
          <w:szCs w:val="21"/>
        </w:rPr>
        <w:t>protocols</w:t>
      </w:r>
      <w:proofErr w:type="gramEnd"/>
      <w:r w:rsidRPr="00FB0433">
        <w:rPr>
          <w:rFonts w:ascii="Arial" w:hAnsi="Arial" w:cs="Arial"/>
          <w:color w:val="2A3B4C"/>
          <w:sz w:val="21"/>
          <w:szCs w:val="21"/>
        </w:rPr>
        <w:t xml:space="preserve"> and guidelines.</w:t>
      </w:r>
    </w:p>
    <w:p w14:paraId="08254A53" w14:textId="0183179C" w:rsidR="002F3BC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demonstrate an understanding and commitment to the charity’s values.</w:t>
      </w:r>
    </w:p>
    <w:p w14:paraId="1D2D6DE0" w14:textId="5C8728FD" w:rsidR="00FB0433" w:rsidRPr="00FB0433" w:rsidRDefault="00FA5810"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Pr>
          <w:rFonts w:ascii="Arial" w:hAnsi="Arial" w:cs="Arial"/>
          <w:color w:val="2A3B4C"/>
          <w:sz w:val="21"/>
          <w:szCs w:val="21"/>
        </w:rPr>
        <w:t>You may be required to conduct other tasks based on the business needs.</w:t>
      </w:r>
    </w:p>
    <w:p w14:paraId="19A0F7C5" w14:textId="10131731" w:rsidR="002F3BC3" w:rsidRPr="004858A0" w:rsidRDefault="002F3BC3" w:rsidP="002F3BC3">
      <w:pPr>
        <w:spacing w:beforeLines="40" w:before="96" w:afterLines="40" w:after="96" w:line="276" w:lineRule="auto"/>
        <w:rPr>
          <w:rFonts w:ascii="Arial" w:hAnsi="Arial" w:cs="Arial"/>
          <w:b/>
          <w:sz w:val="16"/>
          <w:szCs w:val="16"/>
          <w:highlight w:val="yellow"/>
        </w:rPr>
      </w:pPr>
    </w:p>
    <w:p w14:paraId="4E29DEBC" w14:textId="77777777" w:rsidR="00FB0433" w:rsidRPr="00FB0433" w:rsidRDefault="00FB0433" w:rsidP="00FB0433">
      <w:pPr>
        <w:pStyle w:val="OrmistonSubHeader"/>
        <w:rPr>
          <w:sz w:val="28"/>
          <w:szCs w:val="28"/>
        </w:rPr>
      </w:pPr>
      <w:r w:rsidRPr="00FB0433">
        <w:rPr>
          <w:sz w:val="24"/>
          <w:szCs w:val="24"/>
        </w:rPr>
        <w:t>Person Specification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6E0EA741"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Experience:</w:t>
            </w: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3E2D58" w:rsidRPr="002F3BC3" w14:paraId="156B2F3B" w14:textId="77777777" w:rsidTr="00152542">
        <w:tc>
          <w:tcPr>
            <w:tcW w:w="4815" w:type="dxa"/>
            <w:shd w:val="clear" w:color="auto" w:fill="auto"/>
          </w:tcPr>
          <w:p w14:paraId="0B3A0311" w14:textId="17C8A4CC"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 xml:space="preserve">Experience of working with children and young people, their </w:t>
            </w:r>
            <w:proofErr w:type="gramStart"/>
            <w:r w:rsidRPr="003E2D58">
              <w:rPr>
                <w:rFonts w:ascii="Arial" w:hAnsi="Arial" w:cs="Arial"/>
                <w:color w:val="0F243E" w:themeColor="text2" w:themeShade="80"/>
                <w:sz w:val="21"/>
                <w:szCs w:val="21"/>
              </w:rPr>
              <w:t>families</w:t>
            </w:r>
            <w:proofErr w:type="gramEnd"/>
            <w:r w:rsidRPr="003E2D58">
              <w:rPr>
                <w:rFonts w:ascii="Arial" w:hAnsi="Arial" w:cs="Arial"/>
                <w:color w:val="0F243E" w:themeColor="text2" w:themeShade="80"/>
                <w:sz w:val="21"/>
                <w:szCs w:val="21"/>
              </w:rPr>
              <w:t xml:space="preserve"> and others.</w:t>
            </w:r>
          </w:p>
        </w:tc>
        <w:tc>
          <w:tcPr>
            <w:tcW w:w="5108" w:type="dxa"/>
            <w:shd w:val="clear" w:color="auto" w:fill="auto"/>
          </w:tcPr>
          <w:p w14:paraId="4B945AC6" w14:textId="7BDEB6FA" w:rsidR="003E2D58" w:rsidRPr="003E2D58" w:rsidRDefault="003E2D58" w:rsidP="003E2D58">
            <w:pPr>
              <w:pStyle w:val="ListParagraph"/>
              <w:numPr>
                <w:ilvl w:val="0"/>
                <w:numId w:val="31"/>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children and their families in a healthcare setting</w:t>
            </w:r>
          </w:p>
        </w:tc>
      </w:tr>
      <w:tr w:rsidR="003E2D58" w:rsidRPr="002F3BC3" w14:paraId="1C61142A" w14:textId="77777777" w:rsidTr="00152542">
        <w:tc>
          <w:tcPr>
            <w:tcW w:w="4815" w:type="dxa"/>
            <w:shd w:val="clear" w:color="auto" w:fill="auto"/>
          </w:tcPr>
          <w:p w14:paraId="257EAEB2" w14:textId="0766E581"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and liaising with a wide variety of agencies and stakeholders</w:t>
            </w:r>
          </w:p>
        </w:tc>
        <w:tc>
          <w:tcPr>
            <w:tcW w:w="5108" w:type="dxa"/>
            <w:shd w:val="clear" w:color="auto" w:fill="auto"/>
          </w:tcPr>
          <w:p w14:paraId="0800A907" w14:textId="2A1E8331" w:rsidR="003E2D58" w:rsidRPr="003E2D58" w:rsidRDefault="003E2D58" w:rsidP="003E2D58">
            <w:pPr>
              <w:pStyle w:val="ListParagraph"/>
              <w:numPr>
                <w:ilvl w:val="0"/>
                <w:numId w:val="31"/>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children and their families in an education setting</w:t>
            </w:r>
          </w:p>
        </w:tc>
      </w:tr>
      <w:tr w:rsidR="003E2D58" w:rsidRPr="002F3BC3" w14:paraId="403A8355" w14:textId="77777777" w:rsidTr="00C616A9">
        <w:tc>
          <w:tcPr>
            <w:tcW w:w="4815" w:type="dxa"/>
            <w:shd w:val="clear" w:color="auto" w:fill="auto"/>
            <w:vAlign w:val="center"/>
          </w:tcPr>
          <w:p w14:paraId="0678AE5A" w14:textId="77777777" w:rsidR="003E2D58"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children and young people who have social, emotional and/or behavioural difficulties</w:t>
            </w:r>
          </w:p>
          <w:p w14:paraId="4BFFA0FB" w14:textId="77777777" w:rsidR="003E2D58" w:rsidRPr="003E2D58" w:rsidRDefault="003E2D58" w:rsidP="003E2D58">
            <w:pPr>
              <w:rPr>
                <w:rFonts w:ascii="Arial" w:hAnsi="Arial" w:cs="Arial"/>
                <w:color w:val="0F243E" w:themeColor="text2" w:themeShade="80"/>
                <w:sz w:val="21"/>
                <w:szCs w:val="21"/>
              </w:rPr>
            </w:pPr>
          </w:p>
        </w:tc>
        <w:tc>
          <w:tcPr>
            <w:tcW w:w="5108" w:type="dxa"/>
            <w:shd w:val="clear" w:color="auto" w:fill="auto"/>
          </w:tcPr>
          <w:p w14:paraId="28CFA004" w14:textId="0C67F437" w:rsidR="003E2D58" w:rsidRPr="003E2D58" w:rsidRDefault="003E2D58" w:rsidP="003E2D58">
            <w:pPr>
              <w:pStyle w:val="ListParagraph"/>
              <w:numPr>
                <w:ilvl w:val="0"/>
                <w:numId w:val="31"/>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other vulnerable groups</w:t>
            </w:r>
          </w:p>
        </w:tc>
      </w:tr>
      <w:tr w:rsidR="003E2D58" w:rsidRPr="002F3BC3" w14:paraId="06B6F8E1" w14:textId="77777777" w:rsidTr="00C616A9">
        <w:tc>
          <w:tcPr>
            <w:tcW w:w="4815" w:type="dxa"/>
            <w:tcBorders>
              <w:bottom w:val="single" w:sz="4" w:space="0" w:color="auto"/>
            </w:tcBorders>
            <w:shd w:val="clear" w:color="auto" w:fill="auto"/>
          </w:tcPr>
          <w:p w14:paraId="1FCD3177" w14:textId="66BA3D5B"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anxiety disorders</w:t>
            </w:r>
          </w:p>
        </w:tc>
        <w:tc>
          <w:tcPr>
            <w:tcW w:w="5108" w:type="dxa"/>
            <w:tcBorders>
              <w:bottom w:val="single" w:sz="4" w:space="0" w:color="auto"/>
            </w:tcBorders>
            <w:shd w:val="clear" w:color="auto" w:fill="auto"/>
          </w:tcPr>
          <w:p w14:paraId="1DEF770D" w14:textId="0B109948" w:rsidR="003E2D58" w:rsidRPr="003E2D58" w:rsidRDefault="003E2D58" w:rsidP="003E2D58">
            <w:pPr>
              <w:pStyle w:val="ListParagraph"/>
              <w:numPr>
                <w:ilvl w:val="0"/>
                <w:numId w:val="31"/>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with diversity including competency in a second language.</w:t>
            </w:r>
          </w:p>
        </w:tc>
      </w:tr>
      <w:tr w:rsidR="003E2D58" w:rsidRPr="002F3BC3" w14:paraId="603F9609" w14:textId="77777777" w:rsidTr="004B1518">
        <w:tc>
          <w:tcPr>
            <w:tcW w:w="4815" w:type="dxa"/>
            <w:tcBorders>
              <w:bottom w:val="single" w:sz="4" w:space="0" w:color="auto"/>
            </w:tcBorders>
            <w:shd w:val="clear" w:color="auto" w:fill="auto"/>
          </w:tcPr>
          <w:p w14:paraId="30B29E5C" w14:textId="11D0CC7D"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affective (mood) disorders</w:t>
            </w:r>
          </w:p>
        </w:tc>
        <w:tc>
          <w:tcPr>
            <w:tcW w:w="5108" w:type="dxa"/>
            <w:tcBorders>
              <w:bottom w:val="single" w:sz="4" w:space="0" w:color="auto"/>
            </w:tcBorders>
            <w:shd w:val="clear" w:color="auto" w:fill="auto"/>
            <w:vAlign w:val="center"/>
          </w:tcPr>
          <w:p w14:paraId="4F71EA8A"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526EE61C" w14:textId="77777777" w:rsidTr="004B1518">
        <w:tc>
          <w:tcPr>
            <w:tcW w:w="4815" w:type="dxa"/>
            <w:tcBorders>
              <w:bottom w:val="single" w:sz="4" w:space="0" w:color="auto"/>
            </w:tcBorders>
            <w:shd w:val="clear" w:color="auto" w:fill="auto"/>
          </w:tcPr>
          <w:p w14:paraId="026BB250" w14:textId="124197A0"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the delivery of specific therapeutic interventions to children, young people or their families (</w:t>
            </w:r>
            <w:proofErr w:type="gramStart"/>
            <w:r w:rsidRPr="003E2D58">
              <w:rPr>
                <w:rFonts w:ascii="Arial" w:hAnsi="Arial" w:cs="Arial"/>
                <w:color w:val="0F243E" w:themeColor="text2" w:themeShade="80"/>
                <w:sz w:val="21"/>
                <w:szCs w:val="21"/>
              </w:rPr>
              <w:t>e.g.</w:t>
            </w:r>
            <w:proofErr w:type="gramEnd"/>
            <w:r w:rsidRPr="003E2D58">
              <w:rPr>
                <w:rFonts w:ascii="Arial" w:hAnsi="Arial" w:cs="Arial"/>
                <w:color w:val="0F243E" w:themeColor="text2" w:themeShade="80"/>
                <w:sz w:val="21"/>
                <w:szCs w:val="21"/>
              </w:rPr>
              <w:t xml:space="preserve"> CBT, solution focused brief therapy) </w:t>
            </w:r>
          </w:p>
        </w:tc>
        <w:tc>
          <w:tcPr>
            <w:tcW w:w="5108" w:type="dxa"/>
            <w:tcBorders>
              <w:bottom w:val="single" w:sz="4" w:space="0" w:color="auto"/>
            </w:tcBorders>
            <w:shd w:val="clear" w:color="auto" w:fill="auto"/>
            <w:vAlign w:val="center"/>
          </w:tcPr>
          <w:p w14:paraId="78A44EC5"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FB0433" w:rsidRPr="002F3BC3" w14:paraId="6ED8A8F8" w14:textId="77777777" w:rsidTr="004858A0">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74F179C0"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Abilities and Knowledge</w:t>
            </w:r>
          </w:p>
        </w:tc>
      </w:tr>
      <w:tr w:rsidR="00FB0433" w:rsidRPr="00FB0433" w14:paraId="30519B77" w14:textId="77777777" w:rsidTr="004858A0">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FB0433" w:rsidRPr="002F3BC3" w14:paraId="133A7F48" w14:textId="77777777" w:rsidTr="003E2D58">
        <w:trPr>
          <w:trHeight w:val="652"/>
        </w:trPr>
        <w:tc>
          <w:tcPr>
            <w:tcW w:w="4815" w:type="dxa"/>
            <w:shd w:val="clear" w:color="auto" w:fill="auto"/>
            <w:vAlign w:val="center"/>
          </w:tcPr>
          <w:p w14:paraId="45C5ED6F" w14:textId="3529A298" w:rsidR="00FB0433"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 xml:space="preserve">Ability to carry out 1:1 therapeutic mental health </w:t>
            </w:r>
            <w:proofErr w:type="gramStart"/>
            <w:r w:rsidRPr="003E2D58">
              <w:rPr>
                <w:rFonts w:ascii="Arial" w:hAnsi="Arial" w:cs="Arial"/>
                <w:color w:val="0F243E" w:themeColor="text2" w:themeShade="80"/>
                <w:sz w:val="21"/>
                <w:szCs w:val="21"/>
              </w:rPr>
              <w:t>interventions</w:t>
            </w:r>
            <w:proofErr w:type="gramEnd"/>
            <w:r w:rsidRPr="003E2D58">
              <w:rPr>
                <w:rFonts w:ascii="Arial" w:hAnsi="Arial" w:cs="Arial"/>
                <w:color w:val="0F243E" w:themeColor="text2" w:themeShade="80"/>
                <w:sz w:val="21"/>
                <w:szCs w:val="21"/>
              </w:rPr>
              <w:t xml:space="preserve"> with children</w:t>
            </w:r>
          </w:p>
        </w:tc>
        <w:tc>
          <w:tcPr>
            <w:tcW w:w="5108" w:type="dxa"/>
            <w:shd w:val="clear" w:color="auto" w:fill="auto"/>
            <w:vAlign w:val="center"/>
          </w:tcPr>
          <w:p w14:paraId="5532A6EC" w14:textId="177975D6" w:rsidR="00FB0433" w:rsidRPr="003E2D58" w:rsidRDefault="003E2D58" w:rsidP="003E2D58">
            <w:pPr>
              <w:pStyle w:val="ListParagraph"/>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teach others about mental health issues</w:t>
            </w:r>
          </w:p>
        </w:tc>
      </w:tr>
      <w:tr w:rsidR="004858A0" w:rsidRPr="002F3BC3" w14:paraId="71D0BA54" w14:textId="77777777" w:rsidTr="004858A0">
        <w:tc>
          <w:tcPr>
            <w:tcW w:w="4815" w:type="dxa"/>
            <w:shd w:val="clear" w:color="auto" w:fill="auto"/>
            <w:vAlign w:val="center"/>
          </w:tcPr>
          <w:p w14:paraId="3BCA3FE0" w14:textId="77777777" w:rsidR="003E2D58"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 xml:space="preserve">Ability to carry out 1:1 therapeutic mental health </w:t>
            </w:r>
            <w:proofErr w:type="gramStart"/>
            <w:r w:rsidRPr="003E2D58">
              <w:rPr>
                <w:rFonts w:ascii="Arial" w:hAnsi="Arial" w:cs="Arial"/>
                <w:color w:val="0F243E" w:themeColor="text2" w:themeShade="80"/>
                <w:sz w:val="21"/>
                <w:szCs w:val="21"/>
              </w:rPr>
              <w:t>interventions</w:t>
            </w:r>
            <w:proofErr w:type="gramEnd"/>
            <w:r w:rsidRPr="003E2D58">
              <w:rPr>
                <w:rFonts w:ascii="Arial" w:hAnsi="Arial" w:cs="Arial"/>
                <w:color w:val="0F243E" w:themeColor="text2" w:themeShade="80"/>
                <w:sz w:val="21"/>
                <w:szCs w:val="21"/>
              </w:rPr>
              <w:t xml:space="preserve"> with families</w:t>
            </w:r>
          </w:p>
          <w:p w14:paraId="12DF67C9" w14:textId="608264E7" w:rsidR="004858A0"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conduct group parenting programmes</w:t>
            </w:r>
          </w:p>
        </w:tc>
        <w:tc>
          <w:tcPr>
            <w:tcW w:w="5108" w:type="dxa"/>
            <w:shd w:val="clear" w:color="auto" w:fill="auto"/>
            <w:vAlign w:val="center"/>
          </w:tcPr>
          <w:p w14:paraId="1F9D54F3" w14:textId="09D13275" w:rsidR="004858A0" w:rsidRPr="003E2D58" w:rsidRDefault="003E2D58" w:rsidP="00FB0433">
            <w:pPr>
              <w:pStyle w:val="ListParagraph"/>
              <w:numPr>
                <w:ilvl w:val="0"/>
                <w:numId w:val="2"/>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conduct other group therapeutic interventions with children and their families</w:t>
            </w:r>
          </w:p>
        </w:tc>
      </w:tr>
      <w:tr w:rsidR="00FB0433" w:rsidRPr="002F3BC3" w14:paraId="273EE91A" w14:textId="77777777" w:rsidTr="004858A0">
        <w:tc>
          <w:tcPr>
            <w:tcW w:w="4815" w:type="dxa"/>
            <w:shd w:val="clear" w:color="auto" w:fill="auto"/>
            <w:vAlign w:val="center"/>
          </w:tcPr>
          <w:p w14:paraId="7D8665A3" w14:textId="2D4A83FD" w:rsidR="00FB0433" w:rsidRPr="003E2D58" w:rsidRDefault="003E2D58" w:rsidP="00FB0433">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work within educational settings to increase mental health awareness within the staff group</w:t>
            </w:r>
          </w:p>
        </w:tc>
        <w:tc>
          <w:tcPr>
            <w:tcW w:w="5108" w:type="dxa"/>
            <w:shd w:val="clear" w:color="auto" w:fill="auto"/>
            <w:vAlign w:val="center"/>
          </w:tcPr>
          <w:p w14:paraId="27F6198C" w14:textId="7017F141" w:rsidR="00FB0433" w:rsidRPr="003E2D58" w:rsidRDefault="003E2D58" w:rsidP="003E2D58">
            <w:pPr>
              <w:pStyle w:val="ListParagraph"/>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Knowledge of the functional operation of specialist CAMHS teams</w:t>
            </w:r>
          </w:p>
        </w:tc>
      </w:tr>
      <w:tr w:rsidR="00FB0433" w:rsidRPr="002F3BC3" w14:paraId="55CB5E70" w14:textId="77777777" w:rsidTr="004858A0">
        <w:tc>
          <w:tcPr>
            <w:tcW w:w="4815" w:type="dxa"/>
            <w:shd w:val="clear" w:color="auto" w:fill="auto"/>
            <w:vAlign w:val="center"/>
          </w:tcPr>
          <w:p w14:paraId="4631B4F0" w14:textId="55D4FF90" w:rsidR="00FB0433"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lastRenderedPageBreak/>
              <w:t>Ability to conduct mental health assessments of children and young people</w:t>
            </w:r>
          </w:p>
        </w:tc>
        <w:tc>
          <w:tcPr>
            <w:tcW w:w="5108" w:type="dxa"/>
            <w:shd w:val="clear" w:color="auto" w:fill="auto"/>
            <w:vAlign w:val="center"/>
          </w:tcPr>
          <w:p w14:paraId="7BF73579" w14:textId="2A5A99DD" w:rsidR="00FB0433" w:rsidRPr="003E2D58" w:rsidRDefault="003E2D58" w:rsidP="003E2D58">
            <w:pPr>
              <w:pStyle w:val="ListParagraph"/>
              <w:numPr>
                <w:ilvl w:val="0"/>
                <w:numId w:val="42"/>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Proven commitment to continuous professional development.</w:t>
            </w:r>
          </w:p>
        </w:tc>
      </w:tr>
      <w:tr w:rsidR="003E2D58" w:rsidRPr="002F3BC3" w14:paraId="38700256" w14:textId="77777777" w:rsidTr="004858A0">
        <w:tc>
          <w:tcPr>
            <w:tcW w:w="4815" w:type="dxa"/>
            <w:shd w:val="clear" w:color="auto" w:fill="auto"/>
            <w:vAlign w:val="center"/>
          </w:tcPr>
          <w:p w14:paraId="184E192D" w14:textId="2E28DCC6" w:rsidR="003E2D58"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 xml:space="preserve">Ability to </w:t>
            </w:r>
            <w:proofErr w:type="gramStart"/>
            <w:r w:rsidRPr="003E2D58">
              <w:rPr>
                <w:rFonts w:ascii="Arial" w:hAnsi="Arial" w:cs="Arial"/>
                <w:color w:val="0F243E" w:themeColor="text2" w:themeShade="80"/>
                <w:sz w:val="21"/>
                <w:szCs w:val="21"/>
              </w:rPr>
              <w:t>make an assessment of</w:t>
            </w:r>
            <w:proofErr w:type="gramEnd"/>
            <w:r w:rsidRPr="003E2D58">
              <w:rPr>
                <w:rFonts w:ascii="Arial" w:hAnsi="Arial" w:cs="Arial"/>
                <w:color w:val="0F243E" w:themeColor="text2" w:themeShade="80"/>
                <w:sz w:val="21"/>
                <w:szCs w:val="21"/>
              </w:rPr>
              <w:t xml:space="preserve"> risk and to record and communicate it appropriately.</w:t>
            </w:r>
          </w:p>
        </w:tc>
        <w:tc>
          <w:tcPr>
            <w:tcW w:w="5108" w:type="dxa"/>
            <w:shd w:val="clear" w:color="auto" w:fill="auto"/>
            <w:vAlign w:val="center"/>
          </w:tcPr>
          <w:p w14:paraId="07288481"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050F3186" w14:textId="77777777" w:rsidTr="004858A0">
        <w:tc>
          <w:tcPr>
            <w:tcW w:w="4815" w:type="dxa"/>
            <w:shd w:val="clear" w:color="auto" w:fill="auto"/>
            <w:vAlign w:val="center"/>
          </w:tcPr>
          <w:p w14:paraId="3C165CEF" w14:textId="51189B12" w:rsidR="003E2D58" w:rsidRPr="003E2D58" w:rsidRDefault="003E2D58" w:rsidP="00FB0433">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 xml:space="preserve">Ability </w:t>
            </w:r>
            <w:proofErr w:type="gramStart"/>
            <w:r w:rsidRPr="003E2D58">
              <w:rPr>
                <w:rFonts w:ascii="Arial" w:hAnsi="Arial" w:cs="Arial"/>
                <w:color w:val="0F243E" w:themeColor="text2" w:themeShade="80"/>
                <w:sz w:val="21"/>
                <w:szCs w:val="21"/>
              </w:rPr>
              <w:t>take</w:t>
            </w:r>
            <w:proofErr w:type="gramEnd"/>
            <w:r w:rsidRPr="003E2D58">
              <w:rPr>
                <w:rFonts w:ascii="Arial" w:hAnsi="Arial" w:cs="Arial"/>
                <w:color w:val="0F243E" w:themeColor="text2" w:themeShade="80"/>
                <w:sz w:val="21"/>
                <w:szCs w:val="21"/>
              </w:rPr>
              <w:t xml:space="preserve"> appropriate action to mitigate or manage risk</w:t>
            </w:r>
          </w:p>
        </w:tc>
        <w:tc>
          <w:tcPr>
            <w:tcW w:w="5108" w:type="dxa"/>
            <w:shd w:val="clear" w:color="auto" w:fill="auto"/>
            <w:vAlign w:val="center"/>
          </w:tcPr>
          <w:p w14:paraId="40F7FF70"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3BBCFDEF" w14:textId="77777777" w:rsidTr="004858A0">
        <w:tc>
          <w:tcPr>
            <w:tcW w:w="4815" w:type="dxa"/>
            <w:shd w:val="clear" w:color="auto" w:fill="auto"/>
            <w:vAlign w:val="center"/>
          </w:tcPr>
          <w:p w14:paraId="0B563003" w14:textId="5503846B" w:rsidR="003E2D58"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Knowledge of educational environments</w:t>
            </w:r>
          </w:p>
        </w:tc>
        <w:tc>
          <w:tcPr>
            <w:tcW w:w="5108" w:type="dxa"/>
            <w:shd w:val="clear" w:color="auto" w:fill="auto"/>
            <w:vAlign w:val="center"/>
          </w:tcPr>
          <w:p w14:paraId="047C9DC3"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19905581" w14:textId="77777777" w:rsidTr="004858A0">
        <w:tc>
          <w:tcPr>
            <w:tcW w:w="4815" w:type="dxa"/>
            <w:shd w:val="clear" w:color="auto" w:fill="auto"/>
            <w:vAlign w:val="center"/>
          </w:tcPr>
          <w:p w14:paraId="5C668739" w14:textId="74584BE3" w:rsidR="003E2D58"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Knowledge of safeguarding issues</w:t>
            </w:r>
          </w:p>
        </w:tc>
        <w:tc>
          <w:tcPr>
            <w:tcW w:w="5108" w:type="dxa"/>
            <w:shd w:val="clear" w:color="auto" w:fill="auto"/>
            <w:vAlign w:val="center"/>
          </w:tcPr>
          <w:p w14:paraId="645E87E5"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52001EEB" w14:textId="77777777" w:rsidTr="004858A0">
        <w:tc>
          <w:tcPr>
            <w:tcW w:w="4815" w:type="dxa"/>
            <w:shd w:val="clear" w:color="auto" w:fill="auto"/>
            <w:vAlign w:val="center"/>
          </w:tcPr>
          <w:p w14:paraId="512CEC43" w14:textId="589D1566" w:rsidR="003E2D58" w:rsidRPr="003E2D58" w:rsidRDefault="003E2D58" w:rsidP="00FB0433">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Knowledge of capacity and consent issues including Gillick competence</w:t>
            </w:r>
          </w:p>
        </w:tc>
        <w:tc>
          <w:tcPr>
            <w:tcW w:w="5108" w:type="dxa"/>
            <w:shd w:val="clear" w:color="auto" w:fill="auto"/>
            <w:vAlign w:val="center"/>
          </w:tcPr>
          <w:p w14:paraId="43709B3C"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37020FE6" w14:textId="77777777" w:rsidTr="00DD7B7F">
        <w:tc>
          <w:tcPr>
            <w:tcW w:w="4815" w:type="dxa"/>
            <w:shd w:val="clear" w:color="auto" w:fill="auto"/>
          </w:tcPr>
          <w:p w14:paraId="69AEFA34" w14:textId="1763EF84"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 xml:space="preserve">Full, </w:t>
            </w:r>
            <w:proofErr w:type="gramStart"/>
            <w:r w:rsidRPr="003E2D58">
              <w:rPr>
                <w:rFonts w:ascii="Arial" w:hAnsi="Arial" w:cs="Arial"/>
                <w:color w:val="0F243E" w:themeColor="text2" w:themeShade="80"/>
                <w:sz w:val="21"/>
                <w:szCs w:val="21"/>
              </w:rPr>
              <w:t>enhanced</w:t>
            </w:r>
            <w:proofErr w:type="gramEnd"/>
            <w:r w:rsidRPr="003E2D58">
              <w:rPr>
                <w:rFonts w:ascii="Arial" w:hAnsi="Arial" w:cs="Arial"/>
                <w:color w:val="0F243E" w:themeColor="text2" w:themeShade="80"/>
                <w:sz w:val="21"/>
                <w:szCs w:val="21"/>
              </w:rPr>
              <w:t xml:space="preserve"> and current satisfactory DBS disclosure for the role</w:t>
            </w:r>
          </w:p>
        </w:tc>
        <w:tc>
          <w:tcPr>
            <w:tcW w:w="5108" w:type="dxa"/>
            <w:shd w:val="clear" w:color="auto" w:fill="auto"/>
            <w:vAlign w:val="center"/>
          </w:tcPr>
          <w:p w14:paraId="78C19F1D"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2CD75826" w14:textId="77777777" w:rsidTr="00DD7B7F">
        <w:tc>
          <w:tcPr>
            <w:tcW w:w="4815" w:type="dxa"/>
            <w:shd w:val="clear" w:color="auto" w:fill="auto"/>
          </w:tcPr>
          <w:p w14:paraId="6528C7D7" w14:textId="6FE85DB6"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 xml:space="preserve">Ability to personally manage a sensitive, </w:t>
            </w:r>
            <w:proofErr w:type="gramStart"/>
            <w:r w:rsidRPr="003E2D58">
              <w:rPr>
                <w:rFonts w:ascii="Arial" w:hAnsi="Arial" w:cs="Arial"/>
                <w:color w:val="0F243E" w:themeColor="text2" w:themeShade="80"/>
                <w:sz w:val="21"/>
                <w:szCs w:val="21"/>
              </w:rPr>
              <w:t>traumatic</w:t>
            </w:r>
            <w:proofErr w:type="gramEnd"/>
            <w:r w:rsidRPr="003E2D58">
              <w:rPr>
                <w:rFonts w:ascii="Arial" w:hAnsi="Arial" w:cs="Arial"/>
                <w:color w:val="0F243E" w:themeColor="text2" w:themeShade="80"/>
                <w:sz w:val="21"/>
                <w:szCs w:val="21"/>
              </w:rPr>
              <w:t xml:space="preserve"> and potentially emotionally distressing caseload</w:t>
            </w:r>
          </w:p>
        </w:tc>
        <w:tc>
          <w:tcPr>
            <w:tcW w:w="5108" w:type="dxa"/>
            <w:shd w:val="clear" w:color="auto" w:fill="auto"/>
            <w:vAlign w:val="center"/>
          </w:tcPr>
          <w:p w14:paraId="68876269"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1859F835" w14:textId="77777777" w:rsidTr="00DD7B7F">
        <w:tc>
          <w:tcPr>
            <w:tcW w:w="4815" w:type="dxa"/>
            <w:shd w:val="clear" w:color="auto" w:fill="auto"/>
          </w:tcPr>
          <w:p w14:paraId="5C5D62E6" w14:textId="40600940"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Excellent oral and written communication skills</w:t>
            </w:r>
          </w:p>
        </w:tc>
        <w:tc>
          <w:tcPr>
            <w:tcW w:w="5108" w:type="dxa"/>
            <w:shd w:val="clear" w:color="auto" w:fill="auto"/>
            <w:vAlign w:val="center"/>
          </w:tcPr>
          <w:p w14:paraId="05A7FB22"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005D928E" w14:textId="77777777" w:rsidTr="00DD7B7F">
        <w:tc>
          <w:tcPr>
            <w:tcW w:w="4815" w:type="dxa"/>
            <w:shd w:val="clear" w:color="auto" w:fill="auto"/>
          </w:tcPr>
          <w:p w14:paraId="55E6893A" w14:textId="3F4FB916"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 xml:space="preserve">Ability to personally manage a sensitive, </w:t>
            </w:r>
            <w:proofErr w:type="gramStart"/>
            <w:r w:rsidRPr="003E2D58">
              <w:rPr>
                <w:rFonts w:ascii="Arial" w:hAnsi="Arial" w:cs="Arial"/>
                <w:color w:val="0F243E" w:themeColor="text2" w:themeShade="80"/>
                <w:sz w:val="21"/>
                <w:szCs w:val="21"/>
              </w:rPr>
              <w:t>traumatic</w:t>
            </w:r>
            <w:proofErr w:type="gramEnd"/>
            <w:r w:rsidRPr="003E2D58">
              <w:rPr>
                <w:rFonts w:ascii="Arial" w:hAnsi="Arial" w:cs="Arial"/>
                <w:color w:val="0F243E" w:themeColor="text2" w:themeShade="80"/>
                <w:sz w:val="21"/>
                <w:szCs w:val="21"/>
              </w:rPr>
              <w:t xml:space="preserve"> and potentially emotionally distressing caseload</w:t>
            </w:r>
          </w:p>
        </w:tc>
        <w:tc>
          <w:tcPr>
            <w:tcW w:w="5108" w:type="dxa"/>
            <w:shd w:val="clear" w:color="auto" w:fill="auto"/>
            <w:vAlign w:val="center"/>
          </w:tcPr>
          <w:p w14:paraId="082B4E0A"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5CC25115" w14:textId="77777777" w:rsidTr="006B5E6C">
        <w:tc>
          <w:tcPr>
            <w:tcW w:w="4815" w:type="dxa"/>
            <w:shd w:val="clear" w:color="auto" w:fill="auto"/>
          </w:tcPr>
          <w:p w14:paraId="20CBF88D" w14:textId="0DE1D3C9"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Self-motivated</w:t>
            </w:r>
          </w:p>
        </w:tc>
        <w:tc>
          <w:tcPr>
            <w:tcW w:w="5108" w:type="dxa"/>
            <w:shd w:val="clear" w:color="auto" w:fill="auto"/>
            <w:vAlign w:val="center"/>
          </w:tcPr>
          <w:p w14:paraId="4C0AFE15"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4D5AE65F" w14:textId="77777777" w:rsidTr="006B5E6C">
        <w:tc>
          <w:tcPr>
            <w:tcW w:w="4815" w:type="dxa"/>
            <w:shd w:val="clear" w:color="auto" w:fill="auto"/>
          </w:tcPr>
          <w:p w14:paraId="25AD6A39" w14:textId="2B868B68"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Able to travel to meet the requirements of the post</w:t>
            </w:r>
          </w:p>
        </w:tc>
        <w:tc>
          <w:tcPr>
            <w:tcW w:w="5108" w:type="dxa"/>
            <w:shd w:val="clear" w:color="auto" w:fill="auto"/>
            <w:vAlign w:val="center"/>
          </w:tcPr>
          <w:p w14:paraId="08D0CD26"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087CD51C" w14:textId="77777777" w:rsidTr="006B5E6C">
        <w:tc>
          <w:tcPr>
            <w:tcW w:w="4815" w:type="dxa"/>
            <w:shd w:val="clear" w:color="auto" w:fill="auto"/>
          </w:tcPr>
          <w:p w14:paraId="313A0AE9" w14:textId="639ECFE6"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Team player</w:t>
            </w:r>
          </w:p>
        </w:tc>
        <w:tc>
          <w:tcPr>
            <w:tcW w:w="5108" w:type="dxa"/>
            <w:shd w:val="clear" w:color="auto" w:fill="auto"/>
            <w:vAlign w:val="center"/>
          </w:tcPr>
          <w:p w14:paraId="1AC16643"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621257D3" w14:textId="77777777" w:rsidTr="006B5E6C">
        <w:tc>
          <w:tcPr>
            <w:tcW w:w="4815" w:type="dxa"/>
            <w:shd w:val="clear" w:color="auto" w:fill="auto"/>
          </w:tcPr>
          <w:p w14:paraId="38085290" w14:textId="5E9A9075"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Excellent time management and organisational skills</w:t>
            </w:r>
          </w:p>
        </w:tc>
        <w:tc>
          <w:tcPr>
            <w:tcW w:w="5108" w:type="dxa"/>
            <w:shd w:val="clear" w:color="auto" w:fill="auto"/>
            <w:vAlign w:val="center"/>
          </w:tcPr>
          <w:p w14:paraId="32542B6A"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733ED2F5" w14:textId="77777777" w:rsidTr="006B5E6C">
        <w:tc>
          <w:tcPr>
            <w:tcW w:w="4815" w:type="dxa"/>
            <w:shd w:val="clear" w:color="auto" w:fill="auto"/>
          </w:tcPr>
          <w:p w14:paraId="74C01D14" w14:textId="6AA4B38A"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Able to meet the physical requirements of the role after reasonable adjustments have been made for any illness or disability.</w:t>
            </w:r>
          </w:p>
        </w:tc>
        <w:tc>
          <w:tcPr>
            <w:tcW w:w="5108" w:type="dxa"/>
            <w:shd w:val="clear" w:color="auto" w:fill="auto"/>
            <w:vAlign w:val="center"/>
          </w:tcPr>
          <w:p w14:paraId="092889E5"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4858A0" w:rsidRPr="002F3BC3" w14:paraId="190FD844" w14:textId="77777777" w:rsidTr="004858A0">
        <w:trPr>
          <w:trHeight w:val="478"/>
        </w:trPr>
        <w:tc>
          <w:tcPr>
            <w:tcW w:w="9923" w:type="dxa"/>
            <w:gridSpan w:val="2"/>
            <w:tcBorders>
              <w:top w:val="nil"/>
              <w:left w:val="nil"/>
              <w:bottom w:val="single" w:sz="4" w:space="0" w:color="auto"/>
              <w:right w:val="nil"/>
            </w:tcBorders>
            <w:shd w:val="clear" w:color="auto" w:fill="auto"/>
            <w:vAlign w:val="center"/>
          </w:tcPr>
          <w:p w14:paraId="25070321" w14:textId="77777777" w:rsidR="004858A0" w:rsidRPr="002F3BC3" w:rsidRDefault="004858A0" w:rsidP="00796BBE">
            <w:pPr>
              <w:rPr>
                <w:rFonts w:ascii="Arial Bold" w:hAnsi="Arial Bold" w:cs="Arial Bold"/>
                <w:bCs/>
                <w:color w:val="2A3B4C"/>
              </w:rPr>
            </w:pPr>
            <w:r w:rsidRPr="00FB0433">
              <w:rPr>
                <w:rFonts w:ascii="Arial Bold" w:hAnsi="Arial Bold" w:cs="Arial Bold"/>
                <w:bCs/>
                <w:color w:val="00A879"/>
              </w:rPr>
              <w:t>Qualifications:</w:t>
            </w:r>
          </w:p>
        </w:tc>
      </w:tr>
      <w:tr w:rsidR="004858A0" w:rsidRPr="00FB0433" w14:paraId="50661D26" w14:textId="77777777" w:rsidTr="004858A0">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B13010" w:rsidRPr="002F3BC3" w14:paraId="04629940" w14:textId="77777777" w:rsidTr="00D44348">
        <w:tc>
          <w:tcPr>
            <w:tcW w:w="4815" w:type="dxa"/>
            <w:shd w:val="clear" w:color="auto" w:fill="auto"/>
            <w:vAlign w:val="center"/>
          </w:tcPr>
          <w:p w14:paraId="78792ABF" w14:textId="03BA90F2" w:rsidR="00B13010" w:rsidRPr="002F3BC3" w:rsidRDefault="00B13010" w:rsidP="00B13010">
            <w:pPr>
              <w:numPr>
                <w:ilvl w:val="0"/>
                <w:numId w:val="2"/>
              </w:numPr>
              <w:rPr>
                <w:rFonts w:ascii="Arial" w:hAnsi="Arial" w:cs="Arial"/>
                <w:color w:val="2A3B4C"/>
                <w:sz w:val="21"/>
                <w:szCs w:val="21"/>
              </w:rPr>
            </w:pPr>
            <w:r w:rsidRPr="003E2D58">
              <w:rPr>
                <w:rFonts w:ascii="Arial" w:hAnsi="Arial" w:cs="Arial"/>
                <w:color w:val="0F243E" w:themeColor="text2" w:themeShade="80"/>
                <w:sz w:val="21"/>
                <w:szCs w:val="21"/>
              </w:rPr>
              <w:t>HEE commissioned 1yr ‘Education Mental Health Practitioner’, ‘Children’s Wellbeing Practitioner’ or ‘Psychological Wellbeing Practitioner’ qualification.</w:t>
            </w:r>
          </w:p>
        </w:tc>
        <w:tc>
          <w:tcPr>
            <w:tcW w:w="5108" w:type="dxa"/>
            <w:shd w:val="clear" w:color="auto" w:fill="auto"/>
          </w:tcPr>
          <w:p w14:paraId="5B69C976" w14:textId="660472CD" w:rsidR="00B13010" w:rsidRPr="00B13010" w:rsidRDefault="00B13010" w:rsidP="00B13010">
            <w:pPr>
              <w:pStyle w:val="ListParagraph"/>
              <w:numPr>
                <w:ilvl w:val="0"/>
                <w:numId w:val="31"/>
              </w:numPr>
              <w:contextualSpacing w:val="0"/>
              <w:rPr>
                <w:rFonts w:ascii="Arial" w:hAnsi="Arial" w:cs="Arial"/>
                <w:color w:val="0F243E" w:themeColor="text2" w:themeShade="80"/>
                <w:sz w:val="21"/>
                <w:szCs w:val="21"/>
              </w:rPr>
            </w:pPr>
            <w:r w:rsidRPr="00B13010">
              <w:rPr>
                <w:rFonts w:ascii="Arial" w:hAnsi="Arial" w:cs="Arial"/>
                <w:color w:val="0F243E" w:themeColor="text2" w:themeShade="80"/>
                <w:sz w:val="21"/>
                <w:szCs w:val="21"/>
              </w:rPr>
              <w:t>A further relevant degree qualification</w:t>
            </w:r>
          </w:p>
        </w:tc>
      </w:tr>
      <w:tr w:rsidR="00B13010" w:rsidRPr="002F3BC3" w14:paraId="470018AF" w14:textId="77777777" w:rsidTr="00D44348">
        <w:tc>
          <w:tcPr>
            <w:tcW w:w="4815" w:type="dxa"/>
            <w:shd w:val="clear" w:color="auto" w:fill="auto"/>
            <w:vAlign w:val="center"/>
          </w:tcPr>
          <w:p w14:paraId="220B5F14" w14:textId="77777777" w:rsidR="00B13010" w:rsidRPr="002F3BC3" w:rsidRDefault="00B13010" w:rsidP="003E2D58">
            <w:pPr>
              <w:ind w:left="720"/>
              <w:rPr>
                <w:rFonts w:ascii="Arial" w:hAnsi="Arial" w:cs="Arial"/>
                <w:color w:val="2A3B4C"/>
                <w:sz w:val="21"/>
                <w:szCs w:val="21"/>
              </w:rPr>
            </w:pPr>
          </w:p>
        </w:tc>
        <w:tc>
          <w:tcPr>
            <w:tcW w:w="5108" w:type="dxa"/>
            <w:shd w:val="clear" w:color="auto" w:fill="auto"/>
          </w:tcPr>
          <w:p w14:paraId="294B40C2" w14:textId="53B522D3" w:rsidR="00B13010" w:rsidRPr="00B13010" w:rsidRDefault="00B13010" w:rsidP="00B13010">
            <w:pPr>
              <w:pStyle w:val="ListParagraph"/>
              <w:numPr>
                <w:ilvl w:val="0"/>
                <w:numId w:val="31"/>
              </w:numPr>
              <w:contextualSpacing w:val="0"/>
              <w:rPr>
                <w:rFonts w:ascii="Arial" w:hAnsi="Arial" w:cs="Arial"/>
                <w:color w:val="0F243E" w:themeColor="text2" w:themeShade="80"/>
                <w:sz w:val="21"/>
                <w:szCs w:val="21"/>
              </w:rPr>
            </w:pPr>
            <w:r w:rsidRPr="00B13010">
              <w:rPr>
                <w:rFonts w:ascii="Arial" w:hAnsi="Arial" w:cs="Arial"/>
                <w:color w:val="0F243E" w:themeColor="text2" w:themeShade="80"/>
                <w:sz w:val="21"/>
                <w:szCs w:val="21"/>
              </w:rPr>
              <w:t>Teaching qualification</w:t>
            </w:r>
          </w:p>
        </w:tc>
      </w:tr>
      <w:tr w:rsidR="00B13010" w:rsidRPr="002F3BC3" w14:paraId="2EE6A75D" w14:textId="77777777" w:rsidTr="00D44348">
        <w:tc>
          <w:tcPr>
            <w:tcW w:w="4815" w:type="dxa"/>
            <w:shd w:val="clear" w:color="auto" w:fill="auto"/>
            <w:vAlign w:val="center"/>
          </w:tcPr>
          <w:p w14:paraId="559DD682" w14:textId="77777777" w:rsidR="00B13010" w:rsidRPr="002F3BC3" w:rsidRDefault="00B13010" w:rsidP="003E2D58">
            <w:pPr>
              <w:ind w:left="720"/>
              <w:rPr>
                <w:rFonts w:ascii="Arial" w:hAnsi="Arial" w:cs="Arial"/>
                <w:color w:val="2A3B4C"/>
                <w:sz w:val="21"/>
                <w:szCs w:val="21"/>
              </w:rPr>
            </w:pPr>
          </w:p>
        </w:tc>
        <w:tc>
          <w:tcPr>
            <w:tcW w:w="5108" w:type="dxa"/>
            <w:shd w:val="clear" w:color="auto" w:fill="auto"/>
          </w:tcPr>
          <w:p w14:paraId="233B2427" w14:textId="6705D842" w:rsidR="00B13010" w:rsidRPr="00B13010" w:rsidRDefault="00B13010" w:rsidP="00B13010">
            <w:pPr>
              <w:pStyle w:val="ListParagraph"/>
              <w:numPr>
                <w:ilvl w:val="0"/>
                <w:numId w:val="31"/>
              </w:numPr>
              <w:contextualSpacing w:val="0"/>
              <w:rPr>
                <w:rFonts w:ascii="Arial" w:hAnsi="Arial" w:cs="Arial"/>
                <w:color w:val="0F243E" w:themeColor="text2" w:themeShade="80"/>
                <w:sz w:val="21"/>
                <w:szCs w:val="21"/>
              </w:rPr>
            </w:pPr>
            <w:r w:rsidRPr="00B13010">
              <w:rPr>
                <w:rFonts w:ascii="Arial" w:hAnsi="Arial" w:cs="Arial"/>
                <w:color w:val="0F243E" w:themeColor="text2" w:themeShade="80"/>
                <w:sz w:val="21"/>
                <w:szCs w:val="21"/>
              </w:rPr>
              <w:t>Youth Mental Health First Aid trained</w:t>
            </w:r>
          </w:p>
        </w:tc>
      </w:tr>
    </w:tbl>
    <w:p w14:paraId="75F2D5B6" w14:textId="77777777" w:rsidR="00FB0433" w:rsidRPr="002F3BC3" w:rsidRDefault="00FB0433" w:rsidP="00FB0433">
      <w:pPr>
        <w:spacing w:line="276" w:lineRule="auto"/>
        <w:rPr>
          <w:rFonts w:ascii="Arial" w:hAnsi="Arial" w:cs="Arial"/>
          <w:color w:val="2A3B4C"/>
          <w:sz w:val="21"/>
          <w:szCs w:val="21"/>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B45868">
        <w:rPr>
          <w:rFonts w:ascii="Arial" w:hAnsi="Arial" w:cs="Arial"/>
          <w:color w:val="2A3B4C"/>
          <w:sz w:val="21"/>
          <w:szCs w:val="21"/>
        </w:rPr>
        <w:t>in order to</w:t>
      </w:r>
      <w:proofErr w:type="gramEnd"/>
      <w:r w:rsidRPr="00B45868">
        <w:rPr>
          <w:rFonts w:ascii="Arial" w:hAnsi="Arial" w:cs="Arial"/>
          <w:color w:val="2A3B4C"/>
          <w:sz w:val="21"/>
          <w:szCs w:val="21"/>
        </w:rPr>
        <w:t xml:space="preserve">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3DD767A7" w:rsidR="004858A0" w:rsidRDefault="004858A0" w:rsidP="004858A0">
      <w:pPr>
        <w:spacing w:beforeLines="40" w:before="96" w:afterLines="40" w:after="96" w:line="276" w:lineRule="auto"/>
        <w:jc w:val="both"/>
        <w:rPr>
          <w:rFonts w:ascii="Arial" w:eastAsia="Calibri" w:hAnsi="Arial" w:cs="Arial"/>
          <w:sz w:val="16"/>
          <w:szCs w:val="16"/>
          <w:lang w:eastAsia="en-GB"/>
        </w:rPr>
      </w:pPr>
    </w:p>
    <w:p w14:paraId="0BB0545A" w14:textId="77777777" w:rsidR="003E2D58" w:rsidRPr="004858A0" w:rsidRDefault="003E2D58"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lastRenderedPageBreak/>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are required to contribute to the control of risk, and must report immediately any incident, accident or near miss involving service users, carers, staff, </w:t>
      </w:r>
      <w:proofErr w:type="gramStart"/>
      <w:r w:rsidRPr="004858A0">
        <w:rPr>
          <w:rFonts w:ascii="Arial" w:hAnsi="Arial" w:cs="Arial"/>
          <w:color w:val="2A3B4C"/>
          <w:sz w:val="21"/>
          <w:szCs w:val="21"/>
        </w:rPr>
        <w:t>contractors</w:t>
      </w:r>
      <w:proofErr w:type="gramEnd"/>
      <w:r w:rsidRPr="004858A0">
        <w:rPr>
          <w:rFonts w:ascii="Arial" w:hAnsi="Arial" w:cs="Arial"/>
          <w:color w:val="2A3B4C"/>
          <w:sz w:val="21"/>
          <w:szCs w:val="21"/>
        </w:rPr>
        <w:t xml:space="preserve">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may gain or have access to confidential information about the assessment and/or treatment of service users, information affecting the public, private or </w:t>
      </w:r>
      <w:proofErr w:type="gramStart"/>
      <w:r w:rsidRPr="004858A0">
        <w:rPr>
          <w:rFonts w:ascii="Arial" w:hAnsi="Arial" w:cs="Arial"/>
          <w:color w:val="2A3B4C"/>
          <w:sz w:val="21"/>
          <w:szCs w:val="21"/>
        </w:rPr>
        <w:t>work related</w:t>
      </w:r>
      <w:proofErr w:type="gramEnd"/>
      <w:r w:rsidRPr="004858A0">
        <w:rPr>
          <w:rFonts w:ascii="Arial" w:hAnsi="Arial" w:cs="Arial"/>
          <w:color w:val="2A3B4C"/>
          <w:sz w:val="21"/>
          <w:szCs w:val="21"/>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 xml:space="preserve">Every member of staff has a responsibility to be aware of and </w:t>
      </w:r>
      <w:proofErr w:type="gramStart"/>
      <w:r w:rsidRPr="004858A0">
        <w:rPr>
          <w:rFonts w:ascii="Arial" w:hAnsi="Arial" w:cs="Arial"/>
          <w:color w:val="2A3B4C"/>
          <w:sz w:val="21"/>
          <w:szCs w:val="21"/>
        </w:rPr>
        <w:t>follow at all times</w:t>
      </w:r>
      <w:proofErr w:type="gramEnd"/>
      <w:r w:rsidRPr="004858A0">
        <w:rPr>
          <w:rFonts w:ascii="Arial" w:hAnsi="Arial" w:cs="Arial"/>
          <w:color w:val="2A3B4C"/>
          <w:sz w:val="21"/>
          <w:szCs w:val="21"/>
        </w:rPr>
        <w:t>,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Under Section 11 of the Children Act senior managers have responsibility for ensuring that service developments </w:t>
      </w:r>
      <w:proofErr w:type="gramStart"/>
      <w:r w:rsidRPr="004858A0">
        <w:rPr>
          <w:rFonts w:ascii="Arial" w:hAnsi="Arial" w:cs="Arial"/>
          <w:color w:val="2A3B4C"/>
          <w:sz w:val="21"/>
          <w:szCs w:val="21"/>
        </w:rPr>
        <w:t>take into account</w:t>
      </w:r>
      <w:proofErr w:type="gramEnd"/>
      <w:r w:rsidRPr="004858A0">
        <w:rPr>
          <w:rFonts w:ascii="Arial" w:hAnsi="Arial" w:cs="Arial"/>
          <w:color w:val="2A3B4C"/>
          <w:sz w:val="21"/>
          <w:szCs w:val="21"/>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The Charity recognises the role of reliable information in the delivery &amp; development of its services and in assuring robust clinical and corporate governance. Data quality is central to </w:t>
      </w:r>
      <w:proofErr w:type="gramStart"/>
      <w:r w:rsidRPr="004858A0">
        <w:rPr>
          <w:rFonts w:ascii="Arial" w:hAnsi="Arial" w:cs="Arial"/>
          <w:color w:val="2A3B4C"/>
          <w:sz w:val="21"/>
          <w:szCs w:val="21"/>
        </w:rPr>
        <w:t>this</w:t>
      </w:r>
      <w:proofErr w:type="gramEnd"/>
      <w:r w:rsidRPr="004858A0">
        <w:rPr>
          <w:rFonts w:ascii="Arial" w:hAnsi="Arial" w:cs="Arial"/>
          <w:color w:val="2A3B4C"/>
          <w:sz w:val="21"/>
          <w:szCs w:val="21"/>
        </w:rPr>
        <w:t xml:space="preserve"> and the availability of complete, comprehensive, accurate and timely data is an essential component in the provision of high-quality mental health services. It is therefore the responsibility of all staff to ensure </w:t>
      </w:r>
      <w:r w:rsidRPr="004858A0">
        <w:rPr>
          <w:rFonts w:ascii="Arial" w:hAnsi="Arial" w:cs="Arial"/>
          <w:color w:val="2A3B4C"/>
          <w:sz w:val="21"/>
          <w:szCs w:val="21"/>
        </w:rPr>
        <w:lastRenderedPageBreak/>
        <w:t xml:space="preserve">that where appropriate, information is recorded, </w:t>
      </w:r>
      <w:proofErr w:type="gramStart"/>
      <w:r w:rsidRPr="004858A0">
        <w:rPr>
          <w:rFonts w:ascii="Arial" w:hAnsi="Arial" w:cs="Arial"/>
          <w:color w:val="2A3B4C"/>
          <w:sz w:val="21"/>
          <w:szCs w:val="21"/>
        </w:rPr>
        <w:t>at all times</w:t>
      </w:r>
      <w:proofErr w:type="gramEnd"/>
      <w:r w:rsidRPr="004858A0">
        <w:rPr>
          <w:rFonts w:ascii="Arial" w:hAnsi="Arial" w:cs="Arial"/>
          <w:color w:val="2A3B4C"/>
          <w:sz w:val="21"/>
          <w:szCs w:val="21"/>
        </w:rPr>
        <w:t>,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6ED7" w14:textId="77777777" w:rsidR="004D7E58" w:rsidRDefault="004D7E58" w:rsidP="00E07D94">
      <w:r>
        <w:separator/>
      </w:r>
    </w:p>
  </w:endnote>
  <w:endnote w:type="continuationSeparator" w:id="0">
    <w:p w14:paraId="22C19D7C" w14:textId="77777777" w:rsidR="004D7E58" w:rsidRDefault="004D7E58"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6588" w14:textId="77777777" w:rsidR="004D7E58" w:rsidRDefault="004D7E58" w:rsidP="00E07D94">
      <w:r>
        <w:separator/>
      </w:r>
    </w:p>
  </w:footnote>
  <w:footnote w:type="continuationSeparator" w:id="0">
    <w:p w14:paraId="2B796B6B" w14:textId="77777777" w:rsidR="004D7E58" w:rsidRDefault="004D7E58"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A3CDB"/>
    <w:multiLevelType w:val="hybridMultilevel"/>
    <w:tmpl w:val="6814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A1E1C"/>
    <w:multiLevelType w:val="hybridMultilevel"/>
    <w:tmpl w:val="1FC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17007"/>
    <w:multiLevelType w:val="hybridMultilevel"/>
    <w:tmpl w:val="10F4A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93C7D"/>
    <w:multiLevelType w:val="hybridMultilevel"/>
    <w:tmpl w:val="8206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B73CB"/>
    <w:multiLevelType w:val="hybridMultilevel"/>
    <w:tmpl w:val="E2A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70B02"/>
    <w:multiLevelType w:val="hybridMultilevel"/>
    <w:tmpl w:val="0572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6418A"/>
    <w:multiLevelType w:val="hybridMultilevel"/>
    <w:tmpl w:val="5DE8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C15C3"/>
    <w:multiLevelType w:val="hybridMultilevel"/>
    <w:tmpl w:val="041637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9782A"/>
    <w:multiLevelType w:val="hybridMultilevel"/>
    <w:tmpl w:val="52AE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5"/>
  </w:num>
  <w:num w:numId="2">
    <w:abstractNumId w:val="7"/>
  </w:num>
  <w:num w:numId="3">
    <w:abstractNumId w:val="12"/>
  </w:num>
  <w:num w:numId="4">
    <w:abstractNumId w:val="14"/>
  </w:num>
  <w:num w:numId="5">
    <w:abstractNumId w:val="34"/>
  </w:num>
  <w:num w:numId="6">
    <w:abstractNumId w:val="10"/>
  </w:num>
  <w:num w:numId="7">
    <w:abstractNumId w:val="3"/>
  </w:num>
  <w:num w:numId="8">
    <w:abstractNumId w:val="15"/>
  </w:num>
  <w:num w:numId="9">
    <w:abstractNumId w:val="9"/>
  </w:num>
  <w:num w:numId="10">
    <w:abstractNumId w:val="6"/>
  </w:num>
  <w:num w:numId="11">
    <w:abstractNumId w:val="31"/>
  </w:num>
  <w:num w:numId="12">
    <w:abstractNumId w:val="22"/>
  </w:num>
  <w:num w:numId="13">
    <w:abstractNumId w:val="18"/>
  </w:num>
  <w:num w:numId="14">
    <w:abstractNumId w:val="1"/>
  </w:num>
  <w:num w:numId="15">
    <w:abstractNumId w:val="26"/>
  </w:num>
  <w:num w:numId="16">
    <w:abstractNumId w:val="17"/>
  </w:num>
  <w:num w:numId="17">
    <w:abstractNumId w:val="28"/>
  </w:num>
  <w:num w:numId="18">
    <w:abstractNumId w:val="39"/>
  </w:num>
  <w:num w:numId="19">
    <w:abstractNumId w:val="30"/>
  </w:num>
  <w:num w:numId="20">
    <w:abstractNumId w:val="19"/>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5"/>
  </w:num>
  <w:num w:numId="24">
    <w:abstractNumId w:val="11"/>
  </w:num>
  <w:num w:numId="25">
    <w:abstractNumId w:val="23"/>
  </w:num>
  <w:num w:numId="26">
    <w:abstractNumId w:val="24"/>
  </w:num>
  <w:num w:numId="27">
    <w:abstractNumId w:val="41"/>
  </w:num>
  <w:num w:numId="28">
    <w:abstractNumId w:val="4"/>
  </w:num>
  <w:num w:numId="29">
    <w:abstractNumId w:val="5"/>
  </w:num>
  <w:num w:numId="30">
    <w:abstractNumId w:val="2"/>
  </w:num>
  <w:num w:numId="31">
    <w:abstractNumId w:val="8"/>
  </w:num>
  <w:num w:numId="32">
    <w:abstractNumId w:val="13"/>
  </w:num>
  <w:num w:numId="33">
    <w:abstractNumId w:val="32"/>
  </w:num>
  <w:num w:numId="34">
    <w:abstractNumId w:val="37"/>
  </w:num>
  <w:num w:numId="35">
    <w:abstractNumId w:val="36"/>
  </w:num>
  <w:num w:numId="36">
    <w:abstractNumId w:val="20"/>
  </w:num>
  <w:num w:numId="37">
    <w:abstractNumId w:val="33"/>
  </w:num>
  <w:num w:numId="38">
    <w:abstractNumId w:val="29"/>
  </w:num>
  <w:num w:numId="39">
    <w:abstractNumId w:val="16"/>
  </w:num>
  <w:num w:numId="40">
    <w:abstractNumId w:val="21"/>
  </w:num>
  <w:num w:numId="41">
    <w:abstractNumId w:val="38"/>
  </w:num>
  <w:num w:numId="42">
    <w:abstractNumId w:val="40"/>
  </w:num>
  <w:num w:numId="4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717D4"/>
    <w:rsid w:val="00083DD1"/>
    <w:rsid w:val="000A55BF"/>
    <w:rsid w:val="000B473F"/>
    <w:rsid w:val="000B65EF"/>
    <w:rsid w:val="000C4E73"/>
    <w:rsid w:val="000C50AA"/>
    <w:rsid w:val="000D049F"/>
    <w:rsid w:val="000D2789"/>
    <w:rsid w:val="000D4016"/>
    <w:rsid w:val="000E428D"/>
    <w:rsid w:val="000F71CB"/>
    <w:rsid w:val="0011135E"/>
    <w:rsid w:val="0012078F"/>
    <w:rsid w:val="00136AAF"/>
    <w:rsid w:val="00143E5A"/>
    <w:rsid w:val="00145596"/>
    <w:rsid w:val="00152923"/>
    <w:rsid w:val="0017275F"/>
    <w:rsid w:val="001803DC"/>
    <w:rsid w:val="00196C5D"/>
    <w:rsid w:val="001B492F"/>
    <w:rsid w:val="002A68D5"/>
    <w:rsid w:val="002B5073"/>
    <w:rsid w:val="002C7DF6"/>
    <w:rsid w:val="002F3BC3"/>
    <w:rsid w:val="003033EC"/>
    <w:rsid w:val="0034112E"/>
    <w:rsid w:val="0037077D"/>
    <w:rsid w:val="0038055F"/>
    <w:rsid w:val="003A552B"/>
    <w:rsid w:val="003B2457"/>
    <w:rsid w:val="003B4B9D"/>
    <w:rsid w:val="003B52DE"/>
    <w:rsid w:val="003C7C5B"/>
    <w:rsid w:val="003E2D58"/>
    <w:rsid w:val="003E32A0"/>
    <w:rsid w:val="003F4568"/>
    <w:rsid w:val="004171D7"/>
    <w:rsid w:val="004858A0"/>
    <w:rsid w:val="004B4C8F"/>
    <w:rsid w:val="004D55BD"/>
    <w:rsid w:val="004D7E58"/>
    <w:rsid w:val="004F1758"/>
    <w:rsid w:val="00501959"/>
    <w:rsid w:val="0050300B"/>
    <w:rsid w:val="00545666"/>
    <w:rsid w:val="005533F4"/>
    <w:rsid w:val="00560C73"/>
    <w:rsid w:val="005912DE"/>
    <w:rsid w:val="00595124"/>
    <w:rsid w:val="005A585B"/>
    <w:rsid w:val="005C7461"/>
    <w:rsid w:val="005D2EE1"/>
    <w:rsid w:val="005D6B09"/>
    <w:rsid w:val="005E6584"/>
    <w:rsid w:val="005F5ADE"/>
    <w:rsid w:val="0064175F"/>
    <w:rsid w:val="0067586F"/>
    <w:rsid w:val="00676983"/>
    <w:rsid w:val="006952DB"/>
    <w:rsid w:val="006C59A6"/>
    <w:rsid w:val="006D12C9"/>
    <w:rsid w:val="006E29FE"/>
    <w:rsid w:val="006E2DC5"/>
    <w:rsid w:val="006E57E7"/>
    <w:rsid w:val="006F5D99"/>
    <w:rsid w:val="007001AA"/>
    <w:rsid w:val="00714E24"/>
    <w:rsid w:val="00724707"/>
    <w:rsid w:val="007357EB"/>
    <w:rsid w:val="0075330B"/>
    <w:rsid w:val="00783C7A"/>
    <w:rsid w:val="007856DB"/>
    <w:rsid w:val="00791CB5"/>
    <w:rsid w:val="0079682A"/>
    <w:rsid w:val="00797EF3"/>
    <w:rsid w:val="007A5768"/>
    <w:rsid w:val="007C2864"/>
    <w:rsid w:val="007D2ABB"/>
    <w:rsid w:val="00806190"/>
    <w:rsid w:val="00834AB2"/>
    <w:rsid w:val="008525B4"/>
    <w:rsid w:val="0086277E"/>
    <w:rsid w:val="00872BA0"/>
    <w:rsid w:val="00890631"/>
    <w:rsid w:val="008B2A9A"/>
    <w:rsid w:val="008D5229"/>
    <w:rsid w:val="00903B05"/>
    <w:rsid w:val="00904E67"/>
    <w:rsid w:val="00920A81"/>
    <w:rsid w:val="00946D00"/>
    <w:rsid w:val="009548BD"/>
    <w:rsid w:val="00990878"/>
    <w:rsid w:val="00992E36"/>
    <w:rsid w:val="009A1BF6"/>
    <w:rsid w:val="009B5E6C"/>
    <w:rsid w:val="009D1A80"/>
    <w:rsid w:val="009E11FB"/>
    <w:rsid w:val="00A13C9C"/>
    <w:rsid w:val="00A142C9"/>
    <w:rsid w:val="00A94701"/>
    <w:rsid w:val="00A97F47"/>
    <w:rsid w:val="00AA4CA4"/>
    <w:rsid w:val="00AB351B"/>
    <w:rsid w:val="00AB4325"/>
    <w:rsid w:val="00AC0C92"/>
    <w:rsid w:val="00AE4EB6"/>
    <w:rsid w:val="00AF1568"/>
    <w:rsid w:val="00AF6ED1"/>
    <w:rsid w:val="00B12511"/>
    <w:rsid w:val="00B13010"/>
    <w:rsid w:val="00B43C97"/>
    <w:rsid w:val="00B45868"/>
    <w:rsid w:val="00B460F0"/>
    <w:rsid w:val="00B70F4A"/>
    <w:rsid w:val="00B842FD"/>
    <w:rsid w:val="00B921B2"/>
    <w:rsid w:val="00BC61F9"/>
    <w:rsid w:val="00C07813"/>
    <w:rsid w:val="00C35BFD"/>
    <w:rsid w:val="00C710CB"/>
    <w:rsid w:val="00CA3C8B"/>
    <w:rsid w:val="00CF21FD"/>
    <w:rsid w:val="00D222FB"/>
    <w:rsid w:val="00D42B10"/>
    <w:rsid w:val="00DA2DAE"/>
    <w:rsid w:val="00DE369B"/>
    <w:rsid w:val="00E07D94"/>
    <w:rsid w:val="00E10041"/>
    <w:rsid w:val="00E33736"/>
    <w:rsid w:val="00E43C08"/>
    <w:rsid w:val="00E44C87"/>
    <w:rsid w:val="00E6483B"/>
    <w:rsid w:val="00E8201F"/>
    <w:rsid w:val="00E92296"/>
    <w:rsid w:val="00EA3FF0"/>
    <w:rsid w:val="00EB12C4"/>
    <w:rsid w:val="00ED11F9"/>
    <w:rsid w:val="00F1342C"/>
    <w:rsid w:val="00F2733D"/>
    <w:rsid w:val="00F87F57"/>
    <w:rsid w:val="00F930BC"/>
    <w:rsid w:val="00F9712E"/>
    <w:rsid w:val="00FA5810"/>
    <w:rsid w:val="00FB0433"/>
    <w:rsid w:val="00FB1040"/>
    <w:rsid w:val="00FC79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97F47"/>
    <w:rPr>
      <w:color w:val="605E5C"/>
      <w:shd w:val="clear" w:color="auto" w:fill="E1DFDD"/>
    </w:rPr>
  </w:style>
  <w:style w:type="table" w:styleId="TableGrid">
    <w:name w:val="Table Grid"/>
    <w:basedOn w:val="TableNormal"/>
    <w:uiPriority w:val="59"/>
    <w:unhideWhenUsed/>
    <w:rsid w:val="00B130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nny.sheehan@ormistonfamilies.org.uk"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ny.sheehan@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3</TotalTime>
  <Pages>15</Pages>
  <Words>4539</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Steve Fildes</cp:lastModifiedBy>
  <cp:revision>3</cp:revision>
  <dcterms:created xsi:type="dcterms:W3CDTF">2021-11-01T17:09:00Z</dcterms:created>
  <dcterms:modified xsi:type="dcterms:W3CDTF">2021-11-01T18:01:00Z</dcterms:modified>
</cp:coreProperties>
</file>