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8B74" w14:textId="1EE475A0" w:rsidR="00791CB5" w:rsidRPr="00A94701" w:rsidRDefault="00B83BAB" w:rsidP="00A94701">
      <w:pPr>
        <w:pStyle w:val="OrmistonMainHeader"/>
      </w:pPr>
      <w:r>
        <w:t>Emotional Wellbeing Practitioner</w:t>
      </w:r>
    </w:p>
    <w:p w14:paraId="4BD2A866" w14:textId="68C662B5" w:rsidR="00ED11F9" w:rsidRPr="00A94701" w:rsidRDefault="00D32E86" w:rsidP="00A94701">
      <w:pPr>
        <w:pStyle w:val="OrmistonMainHeader"/>
      </w:pPr>
      <w:r>
        <w:t xml:space="preserve">Children and Young People’s Mental Health Service. </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7DB83113" w:rsidR="00143E5A" w:rsidRPr="00EB12C4" w:rsidRDefault="00143E5A" w:rsidP="00A94701">
      <w:pPr>
        <w:pStyle w:val="OrmistonBody12pt"/>
      </w:pPr>
      <w:r w:rsidRPr="00EB12C4">
        <w:t>Thank you for your interest in the post of</w:t>
      </w:r>
      <w:r w:rsidR="00E33736">
        <w:t xml:space="preserve"> </w:t>
      </w:r>
      <w:r w:rsidR="00B83BAB">
        <w:t>Emotional Wellbeing Practitioner</w:t>
      </w:r>
      <w:r w:rsidR="00F40AF6">
        <w:t>,</w:t>
      </w:r>
      <w:r w:rsidR="00007179">
        <w:t xml:space="preserve"> </w:t>
      </w:r>
      <w:r w:rsidR="00D32E86">
        <w:t>Children and Young People’s Mental Health Service</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AEEC1F2" w14:textId="7B228814" w:rsidR="00D9168A" w:rsidRDefault="00D9168A" w:rsidP="00D9168A">
      <w:pPr>
        <w:rPr>
          <w:rFonts w:ascii="Arial" w:hAnsi="Arial" w:cs="Arial"/>
          <w:color w:val="2A3B4C"/>
          <w:sz w:val="21"/>
          <w:szCs w:val="21"/>
        </w:rPr>
      </w:pPr>
    </w:p>
    <w:p w14:paraId="733944C1" w14:textId="77777777" w:rsidR="00D32E86" w:rsidRDefault="00D32E86" w:rsidP="00D32E86">
      <w:pPr>
        <w:pStyle w:val="OrmistonSubtitle12pt"/>
      </w:pPr>
      <w:r w:rsidRPr="00EB12C4">
        <w:t xml:space="preserve">About </w:t>
      </w:r>
      <w:r>
        <w:t>our Norfolk Children &amp; Young People’s Mental Health Service</w:t>
      </w:r>
    </w:p>
    <w:p w14:paraId="46D4186E" w14:textId="47CB3BDC" w:rsidR="00D32E86" w:rsidRDefault="00D32E86" w:rsidP="00D32E86">
      <w:pPr>
        <w:rPr>
          <w:rFonts w:ascii="Arial" w:hAnsi="Arial" w:cs="Arial"/>
          <w:color w:val="2A3B4C"/>
          <w:sz w:val="21"/>
          <w:szCs w:val="21"/>
        </w:rPr>
      </w:pPr>
      <w:r>
        <w:rPr>
          <w:rFonts w:ascii="Arial" w:hAnsi="Arial" w:cs="Arial"/>
          <w:color w:val="2A3B4C"/>
          <w:sz w:val="21"/>
          <w:szCs w:val="21"/>
        </w:rPr>
        <w:t xml:space="preserve">Supporting the mental health of children and young people in Norfolk, we are part of Alliance with Norfolk and Suffolk Foundation Trust and </w:t>
      </w:r>
      <w:proofErr w:type="spellStart"/>
      <w:r>
        <w:rPr>
          <w:rFonts w:ascii="Arial" w:hAnsi="Arial" w:cs="Arial"/>
          <w:color w:val="2A3B4C"/>
          <w:sz w:val="21"/>
          <w:szCs w:val="21"/>
        </w:rPr>
        <w:t>Mancroft</w:t>
      </w:r>
      <w:proofErr w:type="spellEnd"/>
      <w:r>
        <w:rPr>
          <w:rFonts w:ascii="Arial" w:hAnsi="Arial" w:cs="Arial"/>
          <w:color w:val="2A3B4C"/>
          <w:sz w:val="21"/>
          <w:szCs w:val="21"/>
        </w:rPr>
        <w:t xml:space="preserve"> Advice Project (MAP) and the Norfolk and Waveney Clinical Commissioning Group.</w:t>
      </w:r>
    </w:p>
    <w:p w14:paraId="73E939CF" w14:textId="77777777" w:rsidR="00D32E86" w:rsidRPr="00D9168A" w:rsidRDefault="00D32E86" w:rsidP="00D9168A">
      <w:pPr>
        <w:rPr>
          <w:rFonts w:ascii="Arial" w:hAnsi="Arial" w:cs="Arial"/>
          <w:color w:val="2A3B4C"/>
          <w:sz w:val="21"/>
          <w:szCs w:val="21"/>
        </w:rPr>
      </w:pPr>
    </w:p>
    <w:p w14:paraId="03EB6882" w14:textId="77777777" w:rsidR="00D32E86" w:rsidRPr="002F3BC3" w:rsidRDefault="00D32E86" w:rsidP="00D32E86">
      <w:pPr>
        <w:rPr>
          <w:rFonts w:ascii="Arial" w:hAnsi="Arial" w:cs="Arial"/>
          <w:color w:val="2A3B4C"/>
          <w:sz w:val="21"/>
          <w:szCs w:val="21"/>
        </w:rPr>
      </w:pPr>
      <w:r w:rsidRPr="002F3BC3">
        <w:rPr>
          <w:rFonts w:ascii="Arial" w:hAnsi="Arial" w:cs="Arial"/>
          <w:color w:val="2A3B4C"/>
          <w:sz w:val="21"/>
          <w:szCs w:val="21"/>
        </w:rPr>
        <w:t>The service works alongside a range of other services for children and young people includ</w:t>
      </w:r>
      <w:r>
        <w:rPr>
          <w:rFonts w:ascii="Arial" w:hAnsi="Arial" w:cs="Arial"/>
          <w:color w:val="2A3B4C"/>
          <w:sz w:val="21"/>
          <w:szCs w:val="21"/>
        </w:rPr>
        <w:t>ing</w:t>
      </w:r>
      <w:r w:rsidRPr="002F3BC3">
        <w:rPr>
          <w:rFonts w:ascii="Arial" w:hAnsi="Arial" w:cs="Arial"/>
          <w:color w:val="2A3B4C"/>
          <w:sz w:val="21"/>
          <w:szCs w:val="21"/>
        </w:rPr>
        <w:t xml:space="preserve">, but not limited to Tier 3 CAMHS (NSFT), Social Care (including Social Work, Early Help and Education), Community Paediatrics, Voluntary </w:t>
      </w:r>
      <w:proofErr w:type="gramStart"/>
      <w:r w:rsidRPr="002F3BC3">
        <w:rPr>
          <w:rFonts w:ascii="Arial" w:hAnsi="Arial" w:cs="Arial"/>
          <w:color w:val="2A3B4C"/>
          <w:sz w:val="21"/>
          <w:szCs w:val="21"/>
        </w:rPr>
        <w:t>Providers</w:t>
      </w:r>
      <w:proofErr w:type="gramEnd"/>
      <w:r w:rsidRPr="002F3BC3">
        <w:rPr>
          <w:rFonts w:ascii="Arial" w:hAnsi="Arial" w:cs="Arial"/>
          <w:color w:val="2A3B4C"/>
          <w:sz w:val="21"/>
          <w:szCs w:val="21"/>
        </w:rPr>
        <w:t xml:space="preserve"> and universal settings. </w:t>
      </w:r>
      <w:r>
        <w:rPr>
          <w:rFonts w:ascii="Arial" w:hAnsi="Arial" w:cs="Arial"/>
          <w:color w:val="2A3B4C"/>
          <w:sz w:val="21"/>
          <w:szCs w:val="21"/>
        </w:rPr>
        <w:t xml:space="preserve">We </w:t>
      </w:r>
      <w:r w:rsidRPr="002F3BC3">
        <w:rPr>
          <w:rFonts w:ascii="Arial" w:hAnsi="Arial" w:cs="Arial"/>
          <w:color w:val="2A3B4C"/>
          <w:sz w:val="21"/>
          <w:szCs w:val="21"/>
        </w:rPr>
        <w:t xml:space="preserve">aim to improve the emotional wellbeing and mental health outcomes for Children and Young People </w:t>
      </w:r>
      <w:proofErr w:type="gramStart"/>
      <w:r w:rsidRPr="002F3BC3">
        <w:rPr>
          <w:rFonts w:ascii="Arial" w:hAnsi="Arial" w:cs="Arial"/>
          <w:color w:val="2A3B4C"/>
          <w:sz w:val="21"/>
          <w:szCs w:val="21"/>
        </w:rPr>
        <w:t>age</w:t>
      </w:r>
      <w:proofErr w:type="gramEnd"/>
      <w:r w:rsidRPr="002F3BC3">
        <w:rPr>
          <w:rFonts w:ascii="Arial" w:hAnsi="Arial" w:cs="Arial"/>
          <w:color w:val="2A3B4C"/>
          <w:sz w:val="21"/>
          <w:szCs w:val="21"/>
        </w:rPr>
        <w:t xml:space="preserve"> 0-</w:t>
      </w:r>
      <w:r>
        <w:rPr>
          <w:rFonts w:ascii="Arial" w:hAnsi="Arial" w:cs="Arial"/>
          <w:color w:val="2A3B4C"/>
          <w:sz w:val="21"/>
          <w:szCs w:val="21"/>
        </w:rPr>
        <w:t>25</w:t>
      </w:r>
      <w:r w:rsidRPr="002F3BC3">
        <w:rPr>
          <w:rFonts w:ascii="Arial" w:hAnsi="Arial" w:cs="Arial"/>
          <w:color w:val="2A3B4C"/>
          <w:sz w:val="21"/>
          <w:szCs w:val="21"/>
        </w:rPr>
        <w:t xml:space="preserve"> years, including </w:t>
      </w:r>
      <w:proofErr w:type="spellStart"/>
      <w:r w:rsidRPr="002F3BC3">
        <w:rPr>
          <w:rFonts w:ascii="Arial" w:hAnsi="Arial" w:cs="Arial"/>
          <w:color w:val="2A3B4C"/>
          <w:sz w:val="21"/>
          <w:szCs w:val="21"/>
        </w:rPr>
        <w:t>unborns</w:t>
      </w:r>
      <w:proofErr w:type="spellEnd"/>
      <w:r w:rsidRPr="002F3BC3">
        <w:rPr>
          <w:rFonts w:ascii="Arial" w:hAnsi="Arial" w:cs="Arial"/>
          <w:color w:val="2A3B4C"/>
          <w:sz w:val="21"/>
          <w:szCs w:val="21"/>
        </w:rPr>
        <w:t xml:space="preserve">. This is by providing evidence informed targeted mental health interventions and pathways of care where there is a mild to moderate mental health presentation. </w:t>
      </w:r>
    </w:p>
    <w:p w14:paraId="79150443" w14:textId="77777777" w:rsidR="00D32E86" w:rsidRPr="002F3BC3" w:rsidRDefault="00D32E86" w:rsidP="00D32E86">
      <w:pPr>
        <w:rPr>
          <w:rFonts w:ascii="Arial" w:hAnsi="Arial" w:cs="Arial"/>
          <w:color w:val="2A3B4C"/>
          <w:sz w:val="21"/>
          <w:szCs w:val="21"/>
        </w:rPr>
      </w:pPr>
    </w:p>
    <w:p w14:paraId="5554227A" w14:textId="77777777" w:rsidR="00D9168A" w:rsidRPr="00D9168A" w:rsidRDefault="00D9168A" w:rsidP="00D9168A">
      <w:pPr>
        <w:rPr>
          <w:rFonts w:ascii="Arial" w:hAnsi="Arial" w:cs="Arial"/>
          <w:color w:val="2A3B4C"/>
          <w:sz w:val="21"/>
          <w:szCs w:val="21"/>
        </w:rPr>
      </w:pPr>
      <w:r w:rsidRPr="00D9168A">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7BB9018" w14:textId="77777777" w:rsidR="00D9168A" w:rsidRPr="00D9168A" w:rsidRDefault="00D9168A" w:rsidP="00D16523">
      <w:pPr>
        <w:numPr>
          <w:ilvl w:val="0"/>
          <w:numId w:val="3"/>
        </w:numPr>
        <w:rPr>
          <w:rFonts w:ascii="Arial" w:hAnsi="Arial" w:cs="Arial"/>
          <w:color w:val="2A3B4C"/>
          <w:sz w:val="21"/>
          <w:szCs w:val="21"/>
        </w:rPr>
      </w:pPr>
      <w:r w:rsidRPr="00D9168A">
        <w:rPr>
          <w:rFonts w:ascii="Arial" w:hAnsi="Arial" w:cs="Arial"/>
          <w:color w:val="2A3B4C"/>
          <w:sz w:val="21"/>
          <w:szCs w:val="21"/>
        </w:rPr>
        <w:t>A mild mental health problem is when a person has a small number of symptoms that have a limited effect on their daily life.</w:t>
      </w:r>
    </w:p>
    <w:p w14:paraId="1193B72C" w14:textId="77777777" w:rsidR="00D9168A" w:rsidRPr="00D9168A" w:rsidRDefault="00D9168A" w:rsidP="00D16523">
      <w:pPr>
        <w:numPr>
          <w:ilvl w:val="0"/>
          <w:numId w:val="3"/>
        </w:numPr>
        <w:rPr>
          <w:rFonts w:ascii="Arial" w:hAnsi="Arial" w:cs="Arial"/>
          <w:color w:val="2A3B4C"/>
          <w:sz w:val="21"/>
          <w:szCs w:val="21"/>
        </w:rPr>
      </w:pPr>
      <w:r w:rsidRPr="00D9168A">
        <w:rPr>
          <w:rFonts w:ascii="Arial" w:hAnsi="Arial" w:cs="Arial"/>
          <w:color w:val="2A3B4C"/>
          <w:sz w:val="21"/>
          <w:szCs w:val="21"/>
        </w:rPr>
        <w:t>A moderate mental health problem is when a person has more symptoms that can make their daily life much more difficult than usual.</w:t>
      </w:r>
    </w:p>
    <w:p w14:paraId="6AE6CD47" w14:textId="77777777" w:rsidR="00D9168A" w:rsidRPr="00D9168A" w:rsidRDefault="00D9168A" w:rsidP="00D16523">
      <w:pPr>
        <w:numPr>
          <w:ilvl w:val="0"/>
          <w:numId w:val="3"/>
        </w:numPr>
        <w:rPr>
          <w:rFonts w:ascii="Arial" w:hAnsi="Arial" w:cs="Arial"/>
          <w:color w:val="2A3B4C"/>
          <w:sz w:val="21"/>
          <w:szCs w:val="21"/>
        </w:rPr>
      </w:pPr>
      <w:r w:rsidRPr="00D9168A">
        <w:rPr>
          <w:rFonts w:ascii="Arial" w:hAnsi="Arial" w:cs="Arial"/>
          <w:color w:val="2A3B4C"/>
          <w:sz w:val="21"/>
          <w:szCs w:val="21"/>
        </w:rPr>
        <w:t>A severe mental health problem is when a person has many symptoms that can make their daily life extremely difficult.</w:t>
      </w:r>
    </w:p>
    <w:p w14:paraId="552EBFA8" w14:textId="77777777" w:rsidR="00F40AF6" w:rsidRPr="00F40AF6" w:rsidRDefault="00F40AF6" w:rsidP="00F40AF6">
      <w:pPr>
        <w:spacing w:line="276" w:lineRule="auto"/>
        <w:rPr>
          <w:rFonts w:ascii="Arial" w:hAnsi="Arial" w:cs="Arial"/>
          <w:color w:val="2A3B4C"/>
          <w:sz w:val="21"/>
          <w:szCs w:val="21"/>
        </w:rPr>
      </w:pP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07EE4F11" w14:textId="77777777" w:rsidR="00D9168A" w:rsidRDefault="00D9168A" w:rsidP="007856DB">
      <w:pPr>
        <w:pStyle w:val="OrmistonSubHeaderBold"/>
      </w:pPr>
    </w:p>
    <w:p w14:paraId="510DE498" w14:textId="77777777" w:rsidR="00D9168A" w:rsidRDefault="00D9168A" w:rsidP="007856DB">
      <w:pPr>
        <w:pStyle w:val="OrmistonSubHeaderBold"/>
      </w:pPr>
    </w:p>
    <w:p w14:paraId="43C07F80" w14:textId="77777777" w:rsidR="00D9168A" w:rsidRDefault="00D9168A" w:rsidP="007856DB">
      <w:pPr>
        <w:pStyle w:val="OrmistonSubHeaderBold"/>
      </w:pPr>
    </w:p>
    <w:p w14:paraId="47547434" w14:textId="2737F278" w:rsidR="00D9168A" w:rsidRDefault="00D9168A" w:rsidP="007856DB">
      <w:pPr>
        <w:pStyle w:val="OrmistonSubHeaderBold"/>
      </w:pPr>
    </w:p>
    <w:p w14:paraId="285DB4CB" w14:textId="77777777" w:rsidR="00D16523" w:rsidRDefault="00D16523" w:rsidP="007856DB">
      <w:pPr>
        <w:pStyle w:val="OrmistonSubHeaderBold"/>
      </w:pPr>
    </w:p>
    <w:p w14:paraId="7A8B2522" w14:textId="19D97B1B" w:rsidR="00C35BFD" w:rsidRPr="007856DB" w:rsidRDefault="00C35BFD" w:rsidP="007856DB">
      <w:pPr>
        <w:pStyle w:val="OrmistonSubHeaderBold"/>
      </w:pPr>
      <w:r w:rsidRPr="007856DB">
        <w:t xml:space="preserve">Job Description </w:t>
      </w:r>
    </w:p>
    <w:p w14:paraId="2B323137" w14:textId="68D2537B" w:rsidR="007856DB" w:rsidRPr="00F40AF6" w:rsidRDefault="0079682A" w:rsidP="00F40AF6">
      <w:pPr>
        <w:pStyle w:val="OrmistonJobDescriptionSubtitle"/>
        <w:rPr>
          <w:rFonts w:ascii="Arial Bold" w:hAnsi="Arial Bold" w:cs="Arial Bold"/>
          <w:b w:val="0"/>
          <w:bCs/>
          <w:color w:val="2A3B4C"/>
        </w:rPr>
      </w:pPr>
      <w:r w:rsidRPr="0079682A">
        <w:rPr>
          <w:color w:val="00A879"/>
        </w:rPr>
        <w:t>Job Title:</w:t>
      </w:r>
      <w:r>
        <w:tab/>
      </w:r>
      <w:r w:rsidR="00D9168A">
        <w:rPr>
          <w:rFonts w:ascii="Arial Bold" w:hAnsi="Arial Bold" w:cs="Arial Bold"/>
          <w:b w:val="0"/>
          <w:bCs/>
          <w:color w:val="2A3B4C"/>
        </w:rPr>
        <w:t>Emotional Wellbeing Practitioner</w:t>
      </w:r>
      <w:r w:rsidR="006D12C9">
        <w:br/>
      </w:r>
      <w:r w:rsidRPr="0079682A">
        <w:rPr>
          <w:color w:val="00A879"/>
        </w:rPr>
        <w:t>Service:</w:t>
      </w:r>
      <w:r>
        <w:tab/>
      </w:r>
      <w:r w:rsidR="00D32E86">
        <w:rPr>
          <w:rFonts w:ascii="Arial Bold" w:hAnsi="Arial Bold" w:cs="Arial Bold"/>
          <w:b w:val="0"/>
          <w:bCs/>
          <w:color w:val="2A3B4C"/>
        </w:rPr>
        <w:t>Norfolk Children &amp; Young People’s Mental Health Service</w:t>
      </w:r>
      <w:r w:rsidR="00F40AF6">
        <w:rPr>
          <w:rFonts w:ascii="Arial Bold" w:hAnsi="Arial Bold" w:cs="Arial Bold"/>
          <w:b w:val="0"/>
          <w:bCs/>
          <w:color w:val="2A3B4C"/>
        </w:rPr>
        <w:br/>
      </w:r>
      <w:r w:rsidRPr="0079682A">
        <w:rPr>
          <w:color w:val="00A879"/>
        </w:rPr>
        <w:t>Location:</w:t>
      </w:r>
      <w:r>
        <w:tab/>
      </w:r>
      <w:r w:rsidR="00F40AF6">
        <w:rPr>
          <w:rFonts w:ascii="Arial Bold" w:hAnsi="Arial Bold" w:cs="Arial Bold"/>
          <w:b w:val="0"/>
          <w:bCs/>
          <w:color w:val="2A3B4C"/>
        </w:rPr>
        <w:t>Norwich Hub</w:t>
      </w:r>
      <w:r w:rsidR="00705991">
        <w:rPr>
          <w:rFonts w:ascii="Arial Bold" w:hAnsi="Arial Bold" w:cs="Arial Bold"/>
          <w:b w:val="0"/>
          <w:bCs/>
          <w:color w:val="2A3B4C"/>
        </w:rPr>
        <w:t xml:space="preserve"> </w:t>
      </w:r>
      <w:r w:rsidR="006D12C9">
        <w:br/>
      </w:r>
    </w:p>
    <w:p w14:paraId="3F96DF33" w14:textId="389D17A3" w:rsidR="006952DB" w:rsidRDefault="00C35BFD" w:rsidP="00BC61F9">
      <w:pPr>
        <w:pStyle w:val="OrmistonSubtitle12pt"/>
      </w:pPr>
      <w:r w:rsidRPr="00EB12C4">
        <w:t>Job purpose</w:t>
      </w:r>
      <w:r w:rsidR="00E33736">
        <w:t>:</w:t>
      </w:r>
    </w:p>
    <w:p w14:paraId="134CFD91" w14:textId="218DBD99" w:rsidR="00D9168A" w:rsidRPr="00D9168A" w:rsidRDefault="00D9168A" w:rsidP="00D9168A">
      <w:pPr>
        <w:rPr>
          <w:rFonts w:ascii="Arial" w:eastAsia="Calibri" w:hAnsi="Arial" w:cs="Arial"/>
          <w:color w:val="2A3B4C"/>
          <w:sz w:val="21"/>
          <w:szCs w:val="21"/>
          <w:lang w:eastAsia="en-GB"/>
        </w:rPr>
      </w:pPr>
      <w:bookmarkStart w:id="0" w:name="_Hlk25742052"/>
      <w:r w:rsidRPr="00D9168A">
        <w:rPr>
          <w:rFonts w:ascii="Arial" w:eastAsia="Calibri" w:hAnsi="Arial" w:cs="Arial"/>
          <w:color w:val="2A3B4C"/>
          <w:sz w:val="21"/>
          <w:szCs w:val="21"/>
          <w:lang w:eastAsia="en-GB"/>
        </w:rPr>
        <w:t xml:space="preserve">To </w:t>
      </w:r>
      <w:r w:rsidR="003F258F">
        <w:rPr>
          <w:rFonts w:ascii="Arial" w:eastAsia="Calibri" w:hAnsi="Arial" w:cs="Arial"/>
          <w:color w:val="2A3B4C"/>
          <w:sz w:val="21"/>
          <w:szCs w:val="21"/>
          <w:lang w:eastAsia="en-GB"/>
        </w:rPr>
        <w:t xml:space="preserve">work as part of the Advice &amp; Access team to </w:t>
      </w:r>
      <w:r w:rsidR="009C28B2">
        <w:rPr>
          <w:rFonts w:ascii="Arial" w:eastAsia="Calibri" w:hAnsi="Arial" w:cs="Arial"/>
          <w:color w:val="2A3B4C"/>
          <w:sz w:val="21"/>
          <w:szCs w:val="21"/>
          <w:lang w:eastAsia="en-GB"/>
        </w:rPr>
        <w:t xml:space="preserve">be the initial point of contact for children young people and families requesting support from the service.  You will undertake initial </w:t>
      </w:r>
      <w:r w:rsidRPr="00D9168A">
        <w:rPr>
          <w:rFonts w:ascii="Arial" w:eastAsia="Calibri" w:hAnsi="Arial" w:cs="Arial"/>
          <w:color w:val="2A3B4C"/>
          <w:sz w:val="21"/>
          <w:szCs w:val="21"/>
          <w:lang w:eastAsia="en-GB"/>
        </w:rPr>
        <w:t xml:space="preserve">information gathering </w:t>
      </w:r>
      <w:r w:rsidR="009C28B2">
        <w:rPr>
          <w:rFonts w:ascii="Arial" w:eastAsia="Calibri" w:hAnsi="Arial" w:cs="Arial"/>
          <w:color w:val="2A3B4C"/>
          <w:sz w:val="21"/>
          <w:szCs w:val="21"/>
          <w:lang w:eastAsia="en-GB"/>
        </w:rPr>
        <w:t>and provide self-help advice</w:t>
      </w:r>
      <w:r w:rsidRPr="00D9168A">
        <w:rPr>
          <w:rFonts w:ascii="Arial" w:eastAsia="Calibri" w:hAnsi="Arial" w:cs="Arial"/>
          <w:color w:val="2A3B4C"/>
          <w:sz w:val="21"/>
          <w:szCs w:val="21"/>
          <w:lang w:eastAsia="en-GB"/>
        </w:rPr>
        <w:t xml:space="preserve"> and</w:t>
      </w:r>
      <w:r w:rsidR="009C28B2">
        <w:rPr>
          <w:rFonts w:ascii="Arial" w:eastAsia="Calibri" w:hAnsi="Arial" w:cs="Arial"/>
          <w:color w:val="2A3B4C"/>
          <w:sz w:val="21"/>
          <w:szCs w:val="21"/>
          <w:lang w:eastAsia="en-GB"/>
        </w:rPr>
        <w:t xml:space="preserve"> techniques and one-off </w:t>
      </w:r>
      <w:r w:rsidRPr="00D9168A">
        <w:rPr>
          <w:rFonts w:ascii="Arial" w:eastAsia="Calibri" w:hAnsi="Arial" w:cs="Arial"/>
          <w:color w:val="2A3B4C"/>
          <w:sz w:val="21"/>
          <w:szCs w:val="21"/>
          <w:lang w:eastAsia="en-GB"/>
        </w:rPr>
        <w:t xml:space="preserve">evidence-based interventions </w:t>
      </w:r>
      <w:r w:rsidR="009C28B2">
        <w:rPr>
          <w:rFonts w:ascii="Arial" w:eastAsia="Calibri" w:hAnsi="Arial" w:cs="Arial"/>
          <w:color w:val="2A3B4C"/>
          <w:sz w:val="21"/>
          <w:szCs w:val="21"/>
          <w:lang w:eastAsia="en-GB"/>
        </w:rPr>
        <w:t>for</w:t>
      </w:r>
      <w:r w:rsidRPr="00D9168A">
        <w:rPr>
          <w:rFonts w:ascii="Arial" w:eastAsia="Calibri" w:hAnsi="Arial" w:cs="Arial"/>
          <w:color w:val="2A3B4C"/>
          <w:sz w:val="21"/>
          <w:szCs w:val="21"/>
          <w:lang w:eastAsia="en-GB"/>
        </w:rPr>
        <w:t xml:space="preserve"> children with mild-moderate mental health issues.</w:t>
      </w:r>
      <w:r w:rsidR="009C28B2">
        <w:rPr>
          <w:rFonts w:ascii="Arial" w:eastAsia="Calibri" w:hAnsi="Arial" w:cs="Arial"/>
          <w:color w:val="2A3B4C"/>
          <w:sz w:val="21"/>
          <w:szCs w:val="21"/>
          <w:lang w:eastAsia="en-GB"/>
        </w:rPr>
        <w:t xml:space="preserve">  This is mainly a telephone-based role with occasional face to face intervention.</w:t>
      </w:r>
      <w:r w:rsidRPr="00D9168A">
        <w:rPr>
          <w:rFonts w:ascii="Arial" w:eastAsia="Calibri" w:hAnsi="Arial" w:cs="Arial"/>
          <w:color w:val="2A3B4C"/>
          <w:sz w:val="21"/>
          <w:szCs w:val="21"/>
          <w:lang w:eastAsia="en-GB"/>
        </w:rPr>
        <w:t xml:space="preserve"> </w:t>
      </w:r>
    </w:p>
    <w:bookmarkEnd w:id="0"/>
    <w:p w14:paraId="308E68BA" w14:textId="77777777" w:rsidR="00F40AF6" w:rsidRPr="00F40AF6" w:rsidRDefault="00F40AF6" w:rsidP="00334DFD">
      <w:pPr>
        <w:spacing w:line="276" w:lineRule="auto"/>
        <w:ind w:left="360"/>
        <w:jc w:val="both"/>
        <w:rPr>
          <w:rFonts w:ascii="Arial" w:eastAsia="Calibri" w:hAnsi="Arial" w:cs="Arial"/>
          <w:color w:val="2A3B4C"/>
          <w:sz w:val="21"/>
          <w:szCs w:val="21"/>
          <w:lang w:eastAsia="en-GB"/>
        </w:rPr>
      </w:pPr>
    </w:p>
    <w:p w14:paraId="709E447E" w14:textId="77777777" w:rsidR="00BC61F9" w:rsidRPr="00BC61F9" w:rsidRDefault="00BC61F9" w:rsidP="00334DFD">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311DF978" w14:textId="1E57715C" w:rsid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Undertake </w:t>
      </w:r>
      <w:r w:rsidR="009C28B2">
        <w:rPr>
          <w:rFonts w:ascii="Arial" w:eastAsia="Calibri" w:hAnsi="Arial" w:cs="Arial"/>
          <w:color w:val="2A3B4C"/>
          <w:sz w:val="21"/>
          <w:szCs w:val="21"/>
          <w:lang w:eastAsia="en-GB"/>
        </w:rPr>
        <w:t>initial discussions about</w:t>
      </w:r>
      <w:r w:rsidRPr="00D9168A">
        <w:rPr>
          <w:rFonts w:ascii="Arial" w:eastAsia="Calibri" w:hAnsi="Arial" w:cs="Arial"/>
          <w:color w:val="2A3B4C"/>
          <w:sz w:val="21"/>
          <w:szCs w:val="21"/>
          <w:lang w:eastAsia="en-GB"/>
        </w:rPr>
        <w:t xml:space="preserve"> presenting mental health concerns with children and caregivers and engage in collaborative treatment planning</w:t>
      </w:r>
    </w:p>
    <w:p w14:paraId="0F7C964E" w14:textId="15B2282F" w:rsidR="009C28B2" w:rsidRDefault="009C28B2" w:rsidP="009C28B2">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Work in partnership to support children and young people experiencing mild to moderate mental health difficulties and their parents/carers, families and educators in the self-management of presenting difficultie</w:t>
      </w:r>
      <w:r>
        <w:rPr>
          <w:rFonts w:ascii="Arial" w:hAnsi="Arial" w:cs="Arial"/>
          <w:color w:val="2A3B4C"/>
          <w:sz w:val="21"/>
          <w:szCs w:val="21"/>
        </w:rPr>
        <w:t>s through providing individualised advice.</w:t>
      </w:r>
    </w:p>
    <w:p w14:paraId="56E48E2E" w14:textId="77777777" w:rsidR="009C28B2" w:rsidRPr="00D9168A" w:rsidRDefault="009C28B2" w:rsidP="009C28B2">
      <w:pPr>
        <w:numPr>
          <w:ilvl w:val="0"/>
          <w:numId w:val="4"/>
        </w:num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G</w:t>
      </w:r>
      <w:r w:rsidRPr="00D9168A">
        <w:rPr>
          <w:rFonts w:ascii="Arial" w:eastAsia="Calibri" w:hAnsi="Arial" w:cs="Arial"/>
          <w:color w:val="2A3B4C"/>
          <w:sz w:val="21"/>
          <w:szCs w:val="21"/>
          <w:lang w:eastAsia="en-GB"/>
        </w:rPr>
        <w:t>ather information to ascertain risk and determine eligibility for Point 1 service in accordance with service criteria.</w:t>
      </w:r>
    </w:p>
    <w:p w14:paraId="7EA5F483"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Assess risk and manage through appropriate safety planning. Ensuring risk of harm is appropriately reported in line with service procedures. </w:t>
      </w:r>
    </w:p>
    <w:p w14:paraId="3FA252D4"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Undertake safeguarding consultations with support from management in accordance with Ormiston Families policies procedures.</w:t>
      </w:r>
    </w:p>
    <w:p w14:paraId="1DACA63D" w14:textId="7AB9B5FF" w:rsidR="009C28B2" w:rsidRDefault="009C28B2" w:rsidP="00D16523">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Deli</w:t>
      </w:r>
      <w:r>
        <w:rPr>
          <w:rFonts w:ascii="Arial" w:hAnsi="Arial" w:cs="Arial"/>
          <w:color w:val="2A3B4C"/>
          <w:sz w:val="21"/>
          <w:szCs w:val="21"/>
        </w:rPr>
        <w:t xml:space="preserve">ver one off </w:t>
      </w:r>
      <w:r w:rsidRPr="00D9168A">
        <w:rPr>
          <w:rFonts w:ascii="Arial" w:hAnsi="Arial" w:cs="Arial"/>
          <w:color w:val="2A3B4C"/>
          <w:sz w:val="21"/>
          <w:szCs w:val="21"/>
        </w:rPr>
        <w:t xml:space="preserve">evidence-based interventions for children and young people with mild to moderate mental health problems </w:t>
      </w:r>
    </w:p>
    <w:p w14:paraId="2E799894" w14:textId="77777777" w:rsidR="00705991" w:rsidRPr="00D9168A" w:rsidRDefault="00705991" w:rsidP="00705991">
      <w:pPr>
        <w:pStyle w:val="ListParagraph"/>
        <w:spacing w:after="240" w:line="276" w:lineRule="auto"/>
        <w:rPr>
          <w:rFonts w:ascii="Arial" w:hAnsi="Arial" w:cs="Arial"/>
          <w:color w:val="2A3B4C"/>
          <w:sz w:val="21"/>
          <w:szCs w:val="21"/>
        </w:rPr>
      </w:pPr>
    </w:p>
    <w:p w14:paraId="530860F5" w14:textId="47CE7D4D" w:rsidR="00705991" w:rsidRPr="00705991" w:rsidRDefault="00D9168A" w:rsidP="00705991">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 xml:space="preserve">Support and empower children, young people, their parents/carers and families and their educators to make informed choices about the interventions being offered. </w:t>
      </w:r>
      <w:r w:rsidR="00705991">
        <w:rPr>
          <w:rFonts w:ascii="Arial" w:hAnsi="Arial" w:cs="Arial"/>
          <w:color w:val="2A3B4C"/>
          <w:sz w:val="21"/>
          <w:szCs w:val="21"/>
        </w:rPr>
        <w:br/>
      </w:r>
    </w:p>
    <w:p w14:paraId="28F3F708" w14:textId="77777777" w:rsidR="00D9168A" w:rsidRPr="00D9168A" w:rsidRDefault="00D9168A" w:rsidP="00D16523">
      <w:pPr>
        <w:pStyle w:val="ListParagraph"/>
        <w:numPr>
          <w:ilvl w:val="0"/>
          <w:numId w:val="4"/>
        </w:numPr>
        <w:spacing w:after="240" w:line="276" w:lineRule="auto"/>
        <w:rPr>
          <w:rFonts w:ascii="Arial" w:hAnsi="Arial" w:cs="Arial"/>
          <w:color w:val="2A3B4C"/>
          <w:sz w:val="21"/>
          <w:szCs w:val="21"/>
        </w:rPr>
      </w:pPr>
      <w:proofErr w:type="gramStart"/>
      <w:r w:rsidRPr="00D9168A">
        <w:rPr>
          <w:rFonts w:ascii="Arial" w:hAnsi="Arial" w:cs="Arial"/>
          <w:color w:val="2A3B4C"/>
          <w:sz w:val="21"/>
          <w:szCs w:val="21"/>
        </w:rPr>
        <w:t>Operate at all times</w:t>
      </w:r>
      <w:proofErr w:type="gramEnd"/>
      <w:r w:rsidRPr="00D9168A">
        <w:rPr>
          <w:rFonts w:ascii="Arial" w:hAnsi="Arial" w:cs="Arial"/>
          <w:color w:val="2A3B4C"/>
          <w:sz w:val="21"/>
          <w:szCs w:val="21"/>
        </w:rPr>
        <w:t xml:space="preserve"> from an inclusive values base, which recognises and respects diversity. </w:t>
      </w:r>
    </w:p>
    <w:p w14:paraId="3258A6DA"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Co-facilitate, as appropriate and required, the delivery of a range of evidence-based parenting programmes.</w:t>
      </w:r>
    </w:p>
    <w:p w14:paraId="0E05D4D6"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Prepare written reports and referrals to include identified needs, presenting issues, intervention offered, outcomes, and recommendations. </w:t>
      </w:r>
    </w:p>
    <w:p w14:paraId="10C2CED7"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Keep accurate and timely records according to service procedures.</w:t>
      </w:r>
    </w:p>
    <w:p w14:paraId="1C85D152"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Provide advice, guidance and signposting to children, young people, parents and caregivers and professionals. </w:t>
      </w:r>
    </w:p>
    <w:p w14:paraId="54BBE7A4"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Contribute to the continuous development of the service through case management and supervision. </w:t>
      </w:r>
    </w:p>
    <w:p w14:paraId="47B268E7" w14:textId="57A9D846" w:rsidR="00D9168A" w:rsidRDefault="00D9168A" w:rsidP="00D16523">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 xml:space="preserve">Practice, evidence and demonstrate an ability to manage one’s own caseload in conjunction with the requirements of the team. </w:t>
      </w:r>
    </w:p>
    <w:p w14:paraId="29DAE573" w14:textId="77777777" w:rsidR="00705991" w:rsidRPr="00D9168A" w:rsidRDefault="00705991" w:rsidP="00705991">
      <w:pPr>
        <w:pStyle w:val="ListParagraph"/>
        <w:spacing w:after="240" w:line="276" w:lineRule="auto"/>
        <w:rPr>
          <w:rFonts w:ascii="Arial" w:hAnsi="Arial" w:cs="Arial"/>
          <w:color w:val="2A3B4C"/>
          <w:sz w:val="21"/>
          <w:szCs w:val="21"/>
        </w:rPr>
      </w:pPr>
    </w:p>
    <w:p w14:paraId="226F3618" w14:textId="77777777" w:rsidR="00D9168A" w:rsidRPr="00D9168A" w:rsidRDefault="00D9168A" w:rsidP="00D16523">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Identify and report safeguarding concerns in line with service procedures and escalate cases where the level of need or risk is beyond the scope of practice of the postholder.</w:t>
      </w:r>
    </w:p>
    <w:p w14:paraId="1F7AF7D5"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Represent and promote the interests of children and vulnerable young people to maintain awareness of their needs amongst those delivering, planning, determining and implementing relevant services.</w:t>
      </w:r>
    </w:p>
    <w:p w14:paraId="4B827A4C"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Maintain up-to-date knowledge of the wider social environment and update resources to inform the work undertaken.</w:t>
      </w:r>
    </w:p>
    <w:p w14:paraId="679AA03B"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Undertake ongoing professional development and disseminate research and service evaluation findings in appropriate formats through agreed channels to colleagues. </w:t>
      </w:r>
    </w:p>
    <w:p w14:paraId="3201E37B"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Work within Ormiston’s mission and values and all policies and procedures, including Safeguarding, Equality and Diversity, Participation, Quality and Health and Safety. Comply with relevant external standards and Quality Marks.</w:t>
      </w:r>
    </w:p>
    <w:p w14:paraId="0D80BCAE" w14:textId="77777777" w:rsidR="00D9168A" w:rsidRPr="00D9168A" w:rsidRDefault="00D9168A" w:rsidP="00D16523">
      <w:pPr>
        <w:numPr>
          <w:ilvl w:val="0"/>
          <w:numId w:val="4"/>
        </w:numPr>
        <w:autoSpaceDE w:val="0"/>
        <w:autoSpaceDN w:val="0"/>
        <w:adjustRightInd w:val="0"/>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Carry out any additional appropriate duties as instructed by the service manager.</w:t>
      </w:r>
    </w:p>
    <w:p w14:paraId="11F28756" w14:textId="1ED30E45" w:rsidR="00BC61F9" w:rsidRPr="00D9168A" w:rsidRDefault="00D9168A" w:rsidP="00D16523">
      <w:pPr>
        <w:pStyle w:val="ListParagraph"/>
        <w:numPr>
          <w:ilvl w:val="0"/>
          <w:numId w:val="4"/>
        </w:numPr>
        <w:spacing w:line="276" w:lineRule="auto"/>
        <w:rPr>
          <w:rFonts w:ascii="Arial" w:hAnsi="Arial" w:cs="Arial"/>
          <w:color w:val="2A3B4C"/>
          <w:sz w:val="21"/>
          <w:szCs w:val="21"/>
        </w:rPr>
      </w:pPr>
      <w:r w:rsidRPr="00D9168A">
        <w:rPr>
          <w:rFonts w:ascii="Arial" w:hAnsi="Arial" w:cs="Arial"/>
          <w:color w:val="2A3B4C"/>
          <w:sz w:val="21"/>
          <w:szCs w:val="21"/>
        </w:rPr>
        <w:t>Travel to work at other Ormiston Families’ sites and clinic venues in the county as and when required.</w:t>
      </w:r>
    </w:p>
    <w:p w14:paraId="203EA6E4" w14:textId="77777777" w:rsidR="00BC61F9" w:rsidRPr="00D9168A" w:rsidRDefault="00BC61F9" w:rsidP="00334DFD">
      <w:pPr>
        <w:spacing w:line="276" w:lineRule="auto"/>
        <w:rPr>
          <w:rFonts w:ascii="Arial" w:eastAsia="Calibri" w:hAnsi="Arial" w:cs="Arial"/>
          <w:color w:val="2A3B4C"/>
          <w:sz w:val="21"/>
          <w:szCs w:val="21"/>
          <w:lang w:eastAsia="en-GB"/>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492083F4" w14:textId="7AC297DC" w:rsidR="00F40AF6" w:rsidRDefault="00F40AF6" w:rsidP="007856DB">
      <w:pPr>
        <w:pStyle w:val="OrmistonSubHeader"/>
      </w:pPr>
    </w:p>
    <w:p w14:paraId="1648C856" w14:textId="013A5700" w:rsidR="00D9168A" w:rsidRDefault="00D9168A" w:rsidP="007856DB">
      <w:pPr>
        <w:pStyle w:val="OrmistonSubHeader"/>
      </w:pPr>
    </w:p>
    <w:p w14:paraId="3628409D" w14:textId="4143A7EB" w:rsidR="00D9168A" w:rsidRDefault="00D9168A" w:rsidP="007856DB">
      <w:pPr>
        <w:pStyle w:val="OrmistonSubHeader"/>
      </w:pPr>
    </w:p>
    <w:p w14:paraId="5B8DC25A" w14:textId="6865EAAF" w:rsidR="00D9168A" w:rsidRDefault="00D9168A" w:rsidP="007856DB">
      <w:pPr>
        <w:pStyle w:val="OrmistonSubHeader"/>
      </w:pPr>
    </w:p>
    <w:p w14:paraId="3709AD0B" w14:textId="77777777" w:rsidR="00D9168A" w:rsidRDefault="00D9168A" w:rsidP="007856DB">
      <w:pPr>
        <w:pStyle w:val="OrmistonSubHeader"/>
      </w:pPr>
    </w:p>
    <w:p w14:paraId="78942338" w14:textId="77777777" w:rsidR="009C28B2" w:rsidRDefault="009C28B2" w:rsidP="00F40AF6">
      <w:pPr>
        <w:pStyle w:val="OrmistonSubHeader"/>
      </w:pPr>
    </w:p>
    <w:p w14:paraId="4B1627CB" w14:textId="6AA289FA" w:rsidR="00F40AF6" w:rsidRDefault="00C35BFD" w:rsidP="00F40AF6">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925730" w:rsidRPr="00AB1FF8" w14:paraId="12D8E9AF"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3417DF29"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Qualifications:</w:t>
            </w:r>
          </w:p>
        </w:tc>
      </w:tr>
      <w:tr w:rsidR="00925730" w:rsidRPr="00AB1FF8" w14:paraId="5908932F"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2689A47C"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0977EE96"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925730" w:rsidRPr="00AB1FF8" w14:paraId="2606C5BE" w14:textId="77777777" w:rsidTr="0057176F">
        <w:tc>
          <w:tcPr>
            <w:tcW w:w="4688" w:type="dxa"/>
            <w:tcBorders>
              <w:top w:val="single" w:sz="4" w:space="0" w:color="auto"/>
              <w:left w:val="single" w:sz="4" w:space="0" w:color="auto"/>
              <w:bottom w:val="single" w:sz="4" w:space="0" w:color="auto"/>
              <w:right w:val="single" w:sz="4" w:space="0" w:color="auto"/>
            </w:tcBorders>
          </w:tcPr>
          <w:p w14:paraId="65AAAB87" w14:textId="77777777" w:rsidR="00D9168A" w:rsidRPr="00D9168A" w:rsidRDefault="00D9168A" w:rsidP="00D9168A">
            <w:p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NVQ Level 3 Diploma or equivalent in mental health or relevant subject.</w:t>
            </w:r>
          </w:p>
          <w:p w14:paraId="009468DF" w14:textId="77777777" w:rsidR="00925730" w:rsidRPr="00925730" w:rsidRDefault="00925730" w:rsidP="0057176F">
            <w:pPr>
              <w:rPr>
                <w:rFonts w:ascii="Arial" w:eastAsia="Calibri" w:hAnsi="Arial" w:cs="Arial"/>
                <w:color w:val="2A3B4C"/>
                <w:sz w:val="21"/>
                <w:szCs w:val="21"/>
                <w:lang w:eastAsia="en-GB"/>
              </w:rPr>
            </w:pPr>
          </w:p>
        </w:tc>
        <w:tc>
          <w:tcPr>
            <w:tcW w:w="4328" w:type="dxa"/>
            <w:tcBorders>
              <w:top w:val="single" w:sz="4" w:space="0" w:color="auto"/>
              <w:left w:val="single" w:sz="4" w:space="0" w:color="auto"/>
              <w:bottom w:val="single" w:sz="4" w:space="0" w:color="auto"/>
              <w:right w:val="single" w:sz="4" w:space="0" w:color="auto"/>
            </w:tcBorders>
            <w:hideMark/>
          </w:tcPr>
          <w:p w14:paraId="6EC210AE" w14:textId="77777777" w:rsidR="00925730" w:rsidRPr="00925730" w:rsidRDefault="00925730" w:rsidP="00D9168A">
            <w:pPr>
              <w:rPr>
                <w:rFonts w:ascii="Arial" w:eastAsia="Calibri" w:hAnsi="Arial" w:cs="Arial"/>
                <w:color w:val="2A3B4C"/>
                <w:sz w:val="21"/>
                <w:szCs w:val="21"/>
                <w:lang w:eastAsia="en-GB"/>
              </w:rPr>
            </w:pPr>
          </w:p>
        </w:tc>
      </w:tr>
      <w:tr w:rsidR="00925730" w:rsidRPr="00AB1FF8" w14:paraId="704F7044"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6CDCDE77"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Experience:</w:t>
            </w:r>
          </w:p>
        </w:tc>
      </w:tr>
      <w:tr w:rsidR="00925730" w:rsidRPr="00AB1FF8" w14:paraId="01CB6236"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3292D66B"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46388822"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925730" w:rsidRPr="00AB1FF8" w14:paraId="76DCE9AA" w14:textId="77777777" w:rsidTr="0057176F">
        <w:tc>
          <w:tcPr>
            <w:tcW w:w="4688" w:type="dxa"/>
            <w:tcBorders>
              <w:top w:val="single" w:sz="4" w:space="0" w:color="auto"/>
              <w:left w:val="single" w:sz="4" w:space="0" w:color="auto"/>
              <w:bottom w:val="single" w:sz="4" w:space="0" w:color="auto"/>
              <w:right w:val="single" w:sz="4" w:space="0" w:color="auto"/>
            </w:tcBorders>
          </w:tcPr>
          <w:p w14:paraId="62E87602" w14:textId="16A1A925" w:rsidR="00925730" w:rsidRPr="00925730" w:rsidRDefault="00D9168A" w:rsidP="0057176F">
            <w:p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Significant relevant experience (a minimum of 2 years) of working with children, young people and families.</w:t>
            </w:r>
          </w:p>
          <w:p w14:paraId="0B0416DA" w14:textId="77777777" w:rsidR="00925730" w:rsidRPr="00925730" w:rsidRDefault="00925730" w:rsidP="0057176F">
            <w:pPr>
              <w:rPr>
                <w:rFonts w:ascii="Arial" w:eastAsia="Calibri" w:hAnsi="Arial" w:cs="Arial"/>
                <w:color w:val="2A3B4C"/>
                <w:sz w:val="21"/>
                <w:szCs w:val="21"/>
                <w:lang w:eastAsia="en-GB"/>
              </w:rPr>
            </w:pPr>
          </w:p>
          <w:p w14:paraId="36ED60CB" w14:textId="77777777" w:rsidR="00925730" w:rsidRPr="00925730" w:rsidRDefault="00925730" w:rsidP="0057176F">
            <w:pPr>
              <w:rPr>
                <w:rFonts w:ascii="Arial" w:eastAsia="Calibri" w:hAnsi="Arial" w:cs="Arial"/>
                <w:color w:val="2A3B4C"/>
                <w:sz w:val="21"/>
                <w:szCs w:val="21"/>
                <w:lang w:eastAsia="en-GB"/>
              </w:rPr>
            </w:pPr>
          </w:p>
        </w:tc>
        <w:tc>
          <w:tcPr>
            <w:tcW w:w="4328" w:type="dxa"/>
            <w:tcBorders>
              <w:top w:val="single" w:sz="4" w:space="0" w:color="auto"/>
              <w:left w:val="single" w:sz="4" w:space="0" w:color="auto"/>
              <w:bottom w:val="single" w:sz="4" w:space="0" w:color="auto"/>
              <w:right w:val="single" w:sz="4" w:space="0" w:color="auto"/>
            </w:tcBorders>
          </w:tcPr>
          <w:p w14:paraId="6AC87A54" w14:textId="77777777" w:rsidR="00925730" w:rsidRPr="00D9168A" w:rsidRDefault="00D9168A" w:rsidP="0057176F">
            <w:p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Knowledge of specialist CAMHS teams.</w:t>
            </w:r>
          </w:p>
          <w:p w14:paraId="1F656A44" w14:textId="77777777" w:rsidR="00D9168A" w:rsidRPr="00D9168A" w:rsidRDefault="00D9168A" w:rsidP="0057176F">
            <w:pPr>
              <w:rPr>
                <w:rFonts w:ascii="Arial" w:eastAsia="Calibri" w:hAnsi="Arial" w:cs="Arial"/>
                <w:color w:val="2A3B4C"/>
                <w:sz w:val="21"/>
                <w:szCs w:val="21"/>
                <w:lang w:eastAsia="en-GB"/>
              </w:rPr>
            </w:pPr>
          </w:p>
          <w:p w14:paraId="74017470" w14:textId="7AA8C9C2" w:rsidR="00D9168A" w:rsidRPr="00925730" w:rsidRDefault="00D9168A" w:rsidP="0057176F">
            <w:p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Trained in the delivery accredited parenting programmes, e.g. Triple-P, Solihull or similar.</w:t>
            </w:r>
          </w:p>
        </w:tc>
      </w:tr>
      <w:tr w:rsidR="00925730" w:rsidRPr="00AB1FF8" w14:paraId="707716AA"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13FD1E10"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Clinical Abilities/Knowledge/Skills:</w:t>
            </w:r>
          </w:p>
        </w:tc>
      </w:tr>
      <w:tr w:rsidR="00925730" w:rsidRPr="00AB1FF8" w14:paraId="66F7870C"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23AD6335"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4DC3AE03"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D9168A" w:rsidRPr="00D9168A" w14:paraId="71CFA52C"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6311DC58"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A1: Knowledge of development in children / young people and of family development and transitions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3F3F132E"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474DEE36"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600848B"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A2: Knowledge and understanding of mental health presentations in children, young people and adults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1CE99034" w14:textId="77777777" w:rsidR="00D9168A" w:rsidRPr="00D9168A" w:rsidRDefault="00D9168A" w:rsidP="00D16523">
            <w:pPr>
              <w:pStyle w:val="ListParagraph"/>
              <w:numPr>
                <w:ilvl w:val="0"/>
                <w:numId w:val="2"/>
              </w:numPr>
              <w:rPr>
                <w:rFonts w:ascii="Arial" w:hAnsi="Arial" w:cs="Arial"/>
                <w:color w:val="2A3B4C"/>
                <w:sz w:val="21"/>
                <w:szCs w:val="21"/>
              </w:rPr>
            </w:pPr>
            <w:r w:rsidRPr="00D9168A">
              <w:rPr>
                <w:rFonts w:ascii="Arial" w:hAnsi="Arial" w:cs="Arial"/>
                <w:color w:val="2A3B4C"/>
                <w:sz w:val="21"/>
                <w:szCs w:val="21"/>
              </w:rPr>
              <w:t>E: Knowledge of specific interventions for a range of common problem presentations (including disruptive behaviour disorders, conduct disorder, depressive conditions, anxiety and trauma, autistic spectrum disorders, and / or challenging behaviour).</w:t>
            </w:r>
          </w:p>
        </w:tc>
      </w:tr>
      <w:tr w:rsidR="00D9168A" w:rsidRPr="00D9168A" w14:paraId="7D16D99C"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3B866DC"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A3: Knowledge of professional and legal issues relevant to working with children and young people</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44EC636"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4E619125"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0A72743"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A4: Knowledge of, and ability to operate within, professional and ethical guidelines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79A1D44"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4F60AED3"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00A114F"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A5: Knowledge of, and ability to work with, issues of confidentiality, consent and capacity</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6D46C782"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23DA5BE1"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B1FC45F"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A6: Ability to work within and across agencies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1CBD43AF"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A1D5855"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0B038F46"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A7: Ability to recognise and respond to concerns about child protection</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29C1D50"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1DF5EEA3"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32D29FA7"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A8: Ability to work with difference (‘cultural competence’)</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5439D49"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2E704648"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ED09304"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A9: Ability to engage and work with families, parents and carers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2A4FC50" w14:textId="660ABBCD" w:rsidR="00D9168A" w:rsidRPr="00D9168A" w:rsidRDefault="00D9168A" w:rsidP="00D16523">
            <w:pPr>
              <w:pStyle w:val="ListParagraph"/>
              <w:numPr>
                <w:ilvl w:val="0"/>
                <w:numId w:val="2"/>
              </w:numPr>
              <w:rPr>
                <w:rFonts w:ascii="Arial" w:hAnsi="Arial" w:cs="Arial"/>
                <w:color w:val="2A3B4C"/>
                <w:sz w:val="21"/>
                <w:szCs w:val="21"/>
              </w:rPr>
            </w:pPr>
            <w:r w:rsidRPr="00D9168A">
              <w:rPr>
                <w:rFonts w:ascii="Arial" w:hAnsi="Arial" w:cs="Arial"/>
                <w:color w:val="2A3B4C"/>
                <w:sz w:val="21"/>
                <w:szCs w:val="21"/>
              </w:rPr>
              <w:t>E1b: Experience of the delivery of evidence-based parenting programmes</w:t>
            </w:r>
          </w:p>
        </w:tc>
      </w:tr>
      <w:tr w:rsidR="00D9168A" w:rsidRPr="00D9168A" w14:paraId="7828F4A7"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2444FAFF"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A10: Ability to engage and communicate with children/young people of differing ages, developmental level and background</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055DBD04"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23785AC"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563E9F55"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B1: Knowledge of models of intervention and their employment in practice</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3B7352AD"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768A813A"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370FF49F"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B2: Ability to foster and maintain a good therapeutic alliance with families and understand the perspectives or ‘world view’ of its members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7A284921"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059E1C7E"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3A8C9338"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B3: Ability to manage the emotional content of sessions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3DF89CA4"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74892B00"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DB7CA3E"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B4: Ability to manage endings and service transitions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ED67667"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BD43A07"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D439A2E"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B5: Ability to work with groups of children / young people and/or parents/carers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357EC83A"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0475056B"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7C2FA07"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B6: Ability to make use of measures, including monitoring or outcomes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0DFED66E"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8A99FAC"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85D89FA"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B7: Ability to make use of supervision</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78306D3"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114969C3"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E5F6D36"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C1: Ability to undertake a comprehensive assessment</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DEDA7C1"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958FCE6"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86B1EBA"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C2: Knowledge of the risk assessment and management processes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086AAF3"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7EC1413E"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5EAEE7A"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C3: Ability to assess the child’s functioning within multiple systems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60CB9FE0"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2D1AAE2E"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56F0E4CD"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C4: Ability to formulate</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72868148"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3F3B6C7"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398DA79"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C5: Ability to feedback the results of assessment and agree a treatment plan</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4A0243E6"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5F99481"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7B7E388"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C6: Ability to undertake a single session assessment of service appropriateness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74A0C02E"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1F79A7C4"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62C2F300"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C7: Ability to co-ordinate casework across different agencies and/or individuals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6BF1348B"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304A4B2A"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925DA01"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D1: Ability to identify when it is appropriate for self-help materials to be employed</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C291CFF"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DDB21B9"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2D324CA5"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D2: Knowledge of health promotion applicable to daily practice with children, young people and families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7DB32D3B"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137B2E70"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3AA9A8A0"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Unassigned: Ability to use Microsoft Office applications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19B6C39D"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694CD980"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7B12E57"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Unassigned: Willingness and ability to travel independently across Norfolk to meet the requirements of the post.</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634BAD86" w14:textId="77777777" w:rsidR="00D9168A" w:rsidRPr="00D9168A" w:rsidRDefault="00D9168A" w:rsidP="00D9168A">
            <w:pPr>
              <w:jc w:val="center"/>
              <w:rPr>
                <w:rFonts w:ascii="Arial" w:eastAsia="Calibri" w:hAnsi="Arial" w:cs="Arial"/>
                <w:color w:val="2A3B4C"/>
                <w:sz w:val="21"/>
                <w:szCs w:val="21"/>
                <w:lang w:eastAsia="en-GB"/>
              </w:rPr>
            </w:pPr>
          </w:p>
        </w:tc>
      </w:tr>
    </w:tbl>
    <w:p w14:paraId="00E7D52B" w14:textId="58E97C48" w:rsidR="00925730" w:rsidRPr="00D9168A" w:rsidRDefault="00925730" w:rsidP="00F40AF6">
      <w:pPr>
        <w:pStyle w:val="OrmistonBody105pt"/>
        <w:rPr>
          <w:rFonts w:eastAsia="Calibri"/>
          <w:lang w:eastAsia="en-GB"/>
        </w:rPr>
      </w:pPr>
    </w:p>
    <w:sectPr w:rsidR="00925730" w:rsidRPr="00D9168A" w:rsidSect="009A1BF6">
      <w:headerReference w:type="first" r:id="rId12"/>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D82A8" w14:textId="77777777" w:rsidR="00CF5A1C" w:rsidRDefault="00CF5A1C" w:rsidP="00E07D94">
      <w:r>
        <w:separator/>
      </w:r>
    </w:p>
  </w:endnote>
  <w:endnote w:type="continuationSeparator" w:id="0">
    <w:p w14:paraId="18F3891A" w14:textId="77777777" w:rsidR="00CF5A1C" w:rsidRDefault="00CF5A1C"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FD0C" w14:textId="77777777" w:rsidR="00CF5A1C" w:rsidRDefault="00CF5A1C" w:rsidP="00E07D94">
      <w:r>
        <w:separator/>
      </w:r>
    </w:p>
  </w:footnote>
  <w:footnote w:type="continuationSeparator" w:id="0">
    <w:p w14:paraId="3B5225C8" w14:textId="77777777" w:rsidR="00CF5A1C" w:rsidRDefault="00CF5A1C"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A3CDB"/>
    <w:multiLevelType w:val="hybridMultilevel"/>
    <w:tmpl w:val="6A38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31D61"/>
    <w:multiLevelType w:val="hybridMultilevel"/>
    <w:tmpl w:val="916C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9680F"/>
    <w:multiLevelType w:val="hybridMultilevel"/>
    <w:tmpl w:val="76BE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47D99"/>
    <w:multiLevelType w:val="hybridMultilevel"/>
    <w:tmpl w:val="6DB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23036"/>
    <w:multiLevelType w:val="hybridMultilevel"/>
    <w:tmpl w:val="7F46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E6574"/>
    <w:multiLevelType w:val="hybridMultilevel"/>
    <w:tmpl w:val="59A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6"/>
  </w:num>
  <w:num w:numId="5">
    <w:abstractNumId w:val="11"/>
  </w:num>
  <w:num w:numId="6">
    <w:abstractNumId w:val="9"/>
  </w:num>
  <w:num w:numId="7">
    <w:abstractNumId w:val="0"/>
  </w:num>
  <w:num w:numId="8">
    <w:abstractNumId w:val="7"/>
  </w:num>
  <w:num w:numId="9">
    <w:abstractNumId w:val="3"/>
  </w:num>
  <w:num w:numId="10">
    <w:abstractNumId w:val="1"/>
  </w:num>
  <w:num w:numId="11">
    <w:abstractNumId w:val="16"/>
  </w:num>
  <w:num w:numId="12">
    <w:abstractNumId w:val="18"/>
  </w:num>
  <w:num w:numId="13">
    <w:abstractNumId w:val="5"/>
  </w:num>
  <w:num w:numId="14">
    <w:abstractNumId w:val="10"/>
  </w:num>
  <w:num w:numId="15">
    <w:abstractNumId w:val="17"/>
  </w:num>
  <w:num w:numId="16">
    <w:abstractNumId w:val="13"/>
  </w:num>
  <w:num w:numId="17">
    <w:abstractNumId w:val="8"/>
  </w:num>
  <w:num w:numId="18">
    <w:abstractNumId w:val="14"/>
  </w:num>
  <w:num w:numId="19">
    <w:abstractNumId w:val="1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F71CB"/>
    <w:rsid w:val="0011135E"/>
    <w:rsid w:val="0012078F"/>
    <w:rsid w:val="00143E5A"/>
    <w:rsid w:val="00152923"/>
    <w:rsid w:val="0017275F"/>
    <w:rsid w:val="001B492F"/>
    <w:rsid w:val="002B5073"/>
    <w:rsid w:val="003033EC"/>
    <w:rsid w:val="00334DFD"/>
    <w:rsid w:val="003B2457"/>
    <w:rsid w:val="003B4B9D"/>
    <w:rsid w:val="003C7C5B"/>
    <w:rsid w:val="003F258F"/>
    <w:rsid w:val="003F4568"/>
    <w:rsid w:val="00406BC8"/>
    <w:rsid w:val="004F1758"/>
    <w:rsid w:val="00501959"/>
    <w:rsid w:val="00545666"/>
    <w:rsid w:val="0064175F"/>
    <w:rsid w:val="006952DB"/>
    <w:rsid w:val="006C59A6"/>
    <w:rsid w:val="006D12C9"/>
    <w:rsid w:val="006E2DC5"/>
    <w:rsid w:val="006F5D99"/>
    <w:rsid w:val="007001AA"/>
    <w:rsid w:val="00705991"/>
    <w:rsid w:val="007357EB"/>
    <w:rsid w:val="00740C32"/>
    <w:rsid w:val="00783C7A"/>
    <w:rsid w:val="007856DB"/>
    <w:rsid w:val="00791CB5"/>
    <w:rsid w:val="0079682A"/>
    <w:rsid w:val="00797EF3"/>
    <w:rsid w:val="007A5768"/>
    <w:rsid w:val="007D2ABB"/>
    <w:rsid w:val="008525B4"/>
    <w:rsid w:val="0086277E"/>
    <w:rsid w:val="00872BA0"/>
    <w:rsid w:val="00896E53"/>
    <w:rsid w:val="008B2A9A"/>
    <w:rsid w:val="008D5229"/>
    <w:rsid w:val="008F0343"/>
    <w:rsid w:val="00920A81"/>
    <w:rsid w:val="00925730"/>
    <w:rsid w:val="00946D00"/>
    <w:rsid w:val="009548BD"/>
    <w:rsid w:val="00990878"/>
    <w:rsid w:val="009A1BF6"/>
    <w:rsid w:val="009A7E7B"/>
    <w:rsid w:val="009C28B2"/>
    <w:rsid w:val="009E11FB"/>
    <w:rsid w:val="00A31F29"/>
    <w:rsid w:val="00A94701"/>
    <w:rsid w:val="00AA2A51"/>
    <w:rsid w:val="00AA4CA4"/>
    <w:rsid w:val="00AB351B"/>
    <w:rsid w:val="00AB4325"/>
    <w:rsid w:val="00AF1568"/>
    <w:rsid w:val="00B43C97"/>
    <w:rsid w:val="00B460F0"/>
    <w:rsid w:val="00B83BAB"/>
    <w:rsid w:val="00B921B2"/>
    <w:rsid w:val="00BC61F9"/>
    <w:rsid w:val="00BE2FFF"/>
    <w:rsid w:val="00C07813"/>
    <w:rsid w:val="00C35BFD"/>
    <w:rsid w:val="00C710CB"/>
    <w:rsid w:val="00CF5A1C"/>
    <w:rsid w:val="00D16523"/>
    <w:rsid w:val="00D32E86"/>
    <w:rsid w:val="00D42B10"/>
    <w:rsid w:val="00D9168A"/>
    <w:rsid w:val="00E07D94"/>
    <w:rsid w:val="00E10041"/>
    <w:rsid w:val="00E33736"/>
    <w:rsid w:val="00E44C87"/>
    <w:rsid w:val="00E8201F"/>
    <w:rsid w:val="00EA3FF0"/>
    <w:rsid w:val="00EB12C4"/>
    <w:rsid w:val="00ED11F9"/>
    <w:rsid w:val="00F40AF6"/>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916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uiPriority w:val="9"/>
    <w:rsid w:val="00D916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FB72-FE08-4B08-B6B4-F543880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8</Pages>
  <Words>1521</Words>
  <Characters>8671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Annette Giles</cp:lastModifiedBy>
  <cp:revision>2</cp:revision>
  <dcterms:created xsi:type="dcterms:W3CDTF">2021-07-13T08:15:00Z</dcterms:created>
  <dcterms:modified xsi:type="dcterms:W3CDTF">2021-07-13T08:15:00Z</dcterms:modified>
</cp:coreProperties>
</file>