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55A4F66E" w:rsidR="00791CB5" w:rsidRPr="00A94701" w:rsidRDefault="00C57642" w:rsidP="00A94701">
      <w:pPr>
        <w:pStyle w:val="OrmistonMainHeader"/>
      </w:pPr>
      <w:r>
        <w:t>Family Support Worker</w:t>
      </w:r>
    </w:p>
    <w:p w14:paraId="4BD2A866" w14:textId="34BE9199" w:rsidR="00ED11F9" w:rsidRPr="00A94701" w:rsidRDefault="00C57642" w:rsidP="00A94701">
      <w:pPr>
        <w:pStyle w:val="OrmistonMainHeader"/>
      </w:pPr>
      <w:r>
        <w:t xml:space="preserve">HMP </w:t>
      </w:r>
      <w:proofErr w:type="spellStart"/>
      <w:r>
        <w:t>Hollesley</w:t>
      </w:r>
      <w:proofErr w:type="spellEnd"/>
      <w:r>
        <w:t xml:space="preserve"> Bay</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085F11A" w:rsidR="00143E5A" w:rsidRPr="00EB12C4" w:rsidRDefault="00143E5A" w:rsidP="00A94701">
      <w:pPr>
        <w:pStyle w:val="OrmistonBody12pt"/>
      </w:pPr>
      <w:r w:rsidRPr="00EB12C4">
        <w:t>Thank you for your interest in the post of</w:t>
      </w:r>
      <w:r w:rsidR="00E33736">
        <w:t xml:space="preserve"> </w:t>
      </w:r>
      <w:r w:rsidR="00C57642">
        <w:t xml:space="preserve">Family Support Worker, HMP </w:t>
      </w:r>
      <w:proofErr w:type="spellStart"/>
      <w:r w:rsidR="00C57642">
        <w:t>Hollesley</w:t>
      </w:r>
      <w:proofErr w:type="spellEnd"/>
      <w:r w:rsidR="00C57642">
        <w:t xml:space="preserve"> Bay.</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57D8F96A" w14:textId="1E8D3FD9" w:rsidR="00F40AF6" w:rsidRDefault="00C35BFD" w:rsidP="00F9712E">
      <w:pPr>
        <w:pStyle w:val="OrmistonSubtitle12pt"/>
      </w:pPr>
      <w:r w:rsidRPr="00EB12C4">
        <w:t xml:space="preserve">About </w:t>
      </w:r>
      <w:r w:rsidR="00C57642">
        <w:t xml:space="preserve">our service at HMP </w:t>
      </w:r>
      <w:proofErr w:type="spellStart"/>
      <w:r w:rsidR="00C57642">
        <w:t>Hollesley</w:t>
      </w:r>
      <w:proofErr w:type="spellEnd"/>
      <w:r w:rsidR="00C57642">
        <w:t xml:space="preserve"> Bay</w:t>
      </w:r>
    </w:p>
    <w:p w14:paraId="552EBFA8" w14:textId="05D73C21" w:rsidR="00F40AF6" w:rsidRDefault="0099271C" w:rsidP="00F40AF6">
      <w:pPr>
        <w:spacing w:line="276" w:lineRule="auto"/>
        <w:rPr>
          <w:rFonts w:ascii="Arial" w:hAnsi="Arial" w:cs="Arial"/>
          <w:color w:val="2A3B4C"/>
          <w:sz w:val="21"/>
          <w:szCs w:val="21"/>
        </w:rPr>
      </w:pPr>
      <w:r w:rsidRPr="0099271C">
        <w:rPr>
          <w:rFonts w:ascii="Arial" w:hAnsi="Arial" w:cs="Arial"/>
          <w:color w:val="2A3B4C"/>
          <w:sz w:val="21"/>
          <w:szCs w:val="21"/>
        </w:rPr>
        <w:t xml:space="preserve">The Ormiston Families team is based at HMP </w:t>
      </w:r>
      <w:proofErr w:type="spellStart"/>
      <w:r w:rsidRPr="0099271C">
        <w:rPr>
          <w:rFonts w:ascii="Arial" w:hAnsi="Arial" w:cs="Arial"/>
          <w:color w:val="2A3B4C"/>
          <w:sz w:val="21"/>
          <w:szCs w:val="21"/>
        </w:rPr>
        <w:t>Hollesley</w:t>
      </w:r>
      <w:proofErr w:type="spellEnd"/>
      <w:r w:rsidRPr="0099271C">
        <w:rPr>
          <w:rFonts w:ascii="Arial" w:hAnsi="Arial" w:cs="Arial"/>
          <w:color w:val="2A3B4C"/>
          <w:sz w:val="21"/>
          <w:szCs w:val="21"/>
        </w:rPr>
        <w:t xml:space="preserve"> Bay. W</w:t>
      </w:r>
      <w:r w:rsidR="00872E08">
        <w:rPr>
          <w:rFonts w:ascii="Arial" w:hAnsi="Arial" w:cs="Arial"/>
          <w:color w:val="2A3B4C"/>
          <w:sz w:val="21"/>
          <w:szCs w:val="21"/>
        </w:rPr>
        <w:t>e provide support and information</w:t>
      </w:r>
      <w:r w:rsidRPr="0099271C">
        <w:rPr>
          <w:rFonts w:ascii="Arial" w:hAnsi="Arial" w:cs="Arial"/>
          <w:color w:val="2A3B4C"/>
          <w:sz w:val="21"/>
          <w:szCs w:val="21"/>
        </w:rPr>
        <w:t>.</w:t>
      </w:r>
    </w:p>
    <w:p w14:paraId="39B56EA3" w14:textId="77777777" w:rsidR="0099271C" w:rsidRPr="00F40AF6" w:rsidRDefault="0099271C" w:rsidP="00F40AF6">
      <w:pPr>
        <w:spacing w:line="276" w:lineRule="auto"/>
        <w:rPr>
          <w:rFonts w:ascii="Arial" w:hAnsi="Arial" w:cs="Arial"/>
          <w:color w:val="2A3B4C"/>
          <w:sz w:val="21"/>
          <w:szCs w:val="21"/>
        </w:rPr>
      </w:pPr>
    </w:p>
    <w:p w14:paraId="57FDAC0F" w14:textId="10376438" w:rsidR="00F40AF6" w:rsidRDefault="00F40AF6" w:rsidP="00F9712E">
      <w:pPr>
        <w:pStyle w:val="OrmistonSubtitle12pt"/>
      </w:pPr>
      <w:r>
        <w:t>About the role</w:t>
      </w:r>
    </w:p>
    <w:p w14:paraId="4B1A2BDA" w14:textId="13BE8455" w:rsidR="00C57642" w:rsidRPr="00C57642" w:rsidRDefault="00872E08" w:rsidP="00C57642">
      <w:pPr>
        <w:rPr>
          <w:rFonts w:ascii="Arial" w:hAnsi="Arial" w:cs="Arial"/>
          <w:color w:val="2A3B4C"/>
          <w:sz w:val="21"/>
          <w:szCs w:val="21"/>
        </w:rPr>
      </w:pPr>
      <w:r>
        <w:rPr>
          <w:rFonts w:ascii="Arial" w:hAnsi="Arial" w:cs="Arial"/>
          <w:color w:val="2A3B4C"/>
          <w:sz w:val="21"/>
          <w:szCs w:val="21"/>
        </w:rPr>
        <w:t>You will be</w:t>
      </w:r>
      <w:r w:rsidR="00C57642">
        <w:rPr>
          <w:rFonts w:ascii="Arial" w:hAnsi="Arial" w:cs="Arial"/>
          <w:color w:val="2A3B4C"/>
          <w:sz w:val="21"/>
          <w:szCs w:val="21"/>
        </w:rPr>
        <w:t xml:space="preserve"> d</w:t>
      </w:r>
      <w:r w:rsidR="00C57642" w:rsidRPr="00C57642">
        <w:rPr>
          <w:rFonts w:ascii="Arial" w:hAnsi="Arial" w:cs="Arial"/>
          <w:color w:val="2A3B4C"/>
          <w:sz w:val="21"/>
          <w:szCs w:val="21"/>
        </w:rPr>
        <w:t>elivering planned interventions/play activities with children, families and offenders in the prison to achieve identified outcomes for children, young people and families.</w:t>
      </w:r>
    </w:p>
    <w:p w14:paraId="0513ED28" w14:textId="77777777" w:rsidR="00F40AF6" w:rsidRPr="00BC61F9" w:rsidRDefault="00F40AF6"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1257154F" w14:textId="7BD38EFE" w:rsidR="00C57642" w:rsidRDefault="00C57642" w:rsidP="00C57642">
      <w:pPr>
        <w:rPr>
          <w:rFonts w:ascii="Arial" w:hAnsi="Arial" w:cs="Arial"/>
          <w:color w:val="2A3B4C"/>
          <w:sz w:val="21"/>
          <w:szCs w:val="21"/>
        </w:rPr>
      </w:pPr>
      <w:r w:rsidRPr="009C0FDB">
        <w:rPr>
          <w:rFonts w:ascii="Arial" w:hAnsi="Arial" w:cs="Arial"/>
          <w:color w:val="2A3B4C"/>
          <w:sz w:val="21"/>
          <w:szCs w:val="21"/>
        </w:rPr>
        <w:t>To be successful you must be able to demonstrate experience of dealing with people in a customer service</w:t>
      </w:r>
      <w:r>
        <w:rPr>
          <w:rFonts w:ascii="Arial" w:hAnsi="Arial" w:cs="Arial"/>
          <w:color w:val="2A3B4C"/>
          <w:sz w:val="21"/>
          <w:szCs w:val="21"/>
        </w:rPr>
        <w:t>-</w:t>
      </w:r>
      <w:r w:rsidRPr="009C0FDB">
        <w:rPr>
          <w:rFonts w:ascii="Arial" w:hAnsi="Arial" w:cs="Arial"/>
          <w:color w:val="2A3B4C"/>
          <w:sz w:val="21"/>
          <w:szCs w:val="21"/>
        </w:rPr>
        <w:t>based role, good communication skills and an understanding of safeguarding.  It will be an advantage is you have experience of working directly with children, young people and their families using an appropriate range of techniques.</w:t>
      </w:r>
    </w:p>
    <w:p w14:paraId="22AF2F58" w14:textId="77777777" w:rsidR="00F40AF6" w:rsidRPr="00F40AF6" w:rsidRDefault="00F40AF6" w:rsidP="00F40AF6">
      <w:pPr>
        <w:pStyle w:val="BodyText"/>
        <w:spacing w:line="276" w:lineRule="auto"/>
        <w:rPr>
          <w:rFonts w:ascii="Arial" w:eastAsiaTheme="minorEastAsia" w:hAnsi="Arial" w:cs="Arial"/>
          <w:color w:val="2A3B4C"/>
          <w:sz w:val="21"/>
          <w:szCs w:val="21"/>
        </w:rPr>
      </w:pPr>
    </w:p>
    <w:p w14:paraId="35B805E1" w14:textId="7A3AE8D2" w:rsidR="00F40AF6" w:rsidRPr="00F40AF6" w:rsidRDefault="00F40AF6" w:rsidP="00F40AF6">
      <w:pPr>
        <w:pStyle w:val="BodyText"/>
        <w:spacing w:line="276" w:lineRule="auto"/>
        <w:rPr>
          <w:rFonts w:ascii="Arial" w:eastAsiaTheme="minorEastAsia" w:hAnsi="Arial" w:cs="Arial"/>
          <w:color w:val="2A3B4C"/>
          <w:sz w:val="21"/>
          <w:szCs w:val="21"/>
        </w:rPr>
      </w:pPr>
      <w:r w:rsidRPr="00F40AF6">
        <w:rPr>
          <w:rFonts w:ascii="Arial" w:eastAsiaTheme="minorEastAsia" w:hAnsi="Arial" w:cs="Arial"/>
          <w:color w:val="2A3B4C"/>
          <w:sz w:val="21"/>
          <w:szCs w:val="21"/>
        </w:rPr>
        <w:t xml:space="preserve">This a </w:t>
      </w:r>
      <w:r w:rsidR="00C57642">
        <w:rPr>
          <w:rFonts w:ascii="Arial" w:eastAsiaTheme="minorEastAsia" w:hAnsi="Arial" w:cs="Arial"/>
          <w:color w:val="2A3B4C"/>
          <w:sz w:val="21"/>
          <w:szCs w:val="21"/>
        </w:rPr>
        <w:t>part</w:t>
      </w:r>
      <w:r w:rsidRPr="00F40AF6">
        <w:rPr>
          <w:rFonts w:ascii="Arial" w:eastAsiaTheme="minorEastAsia" w:hAnsi="Arial" w:cs="Arial"/>
          <w:color w:val="2A3B4C"/>
          <w:sz w:val="21"/>
          <w:szCs w:val="21"/>
        </w:rPr>
        <w:t xml:space="preserve">-time post for </w:t>
      </w:r>
      <w:r w:rsidR="00C57642">
        <w:rPr>
          <w:rFonts w:ascii="Arial" w:eastAsiaTheme="minorEastAsia" w:hAnsi="Arial" w:cs="Arial"/>
          <w:color w:val="2A3B4C"/>
          <w:sz w:val="21"/>
          <w:szCs w:val="21"/>
        </w:rPr>
        <w:t>17.5</w:t>
      </w:r>
      <w:r w:rsidRPr="00F40AF6">
        <w:rPr>
          <w:rFonts w:ascii="Arial" w:eastAsiaTheme="minorEastAsia" w:hAnsi="Arial" w:cs="Arial"/>
          <w:color w:val="2A3B4C"/>
          <w:sz w:val="21"/>
          <w:szCs w:val="21"/>
        </w:rPr>
        <w:t xml:space="preserve"> hours per week; Starting salary £</w:t>
      </w:r>
      <w:r w:rsidR="00C57642">
        <w:rPr>
          <w:rFonts w:ascii="Arial" w:eastAsiaTheme="minorEastAsia" w:hAnsi="Arial" w:cs="Arial"/>
          <w:color w:val="2A3B4C"/>
          <w:sz w:val="21"/>
          <w:szCs w:val="21"/>
        </w:rPr>
        <w:t>18,129 pro rata</w:t>
      </w:r>
      <w:r w:rsidRPr="00F40AF6">
        <w:rPr>
          <w:rFonts w:ascii="Arial" w:eastAsiaTheme="minorEastAsia" w:hAnsi="Arial" w:cs="Arial"/>
          <w:color w:val="2A3B4C"/>
          <w:sz w:val="21"/>
          <w:szCs w:val="21"/>
        </w:rPr>
        <w:t xml:space="preserve"> per annum</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361FCA7D" w14:textId="77777777" w:rsidR="00007179" w:rsidRPr="00EB12C4" w:rsidRDefault="00007179" w:rsidP="004F1758">
      <w:pPr>
        <w:pStyle w:val="OrmistonBody105pt"/>
      </w:pPr>
    </w:p>
    <w:p w14:paraId="13D1DD00" w14:textId="77777777" w:rsidR="00A95A2E" w:rsidRDefault="00A95A2E" w:rsidP="007856DB">
      <w:pPr>
        <w:pStyle w:val="OrmistonSubHeaderBold"/>
      </w:pPr>
    </w:p>
    <w:p w14:paraId="37B01E4A" w14:textId="77777777" w:rsidR="00A95A2E" w:rsidRDefault="00A95A2E" w:rsidP="007856DB">
      <w:pPr>
        <w:pStyle w:val="OrmistonSubHeaderBold"/>
      </w:pPr>
    </w:p>
    <w:p w14:paraId="7A8B2522" w14:textId="7518137A" w:rsidR="00C35BFD" w:rsidRPr="007856DB" w:rsidRDefault="00C35BFD" w:rsidP="007856DB">
      <w:pPr>
        <w:pStyle w:val="OrmistonSubHeaderBold"/>
      </w:pPr>
      <w:r w:rsidRPr="007856DB">
        <w:lastRenderedPageBreak/>
        <w:t xml:space="preserve">Job Description </w:t>
      </w:r>
    </w:p>
    <w:p w14:paraId="2B323137" w14:textId="0A841D27"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C57642">
        <w:rPr>
          <w:rFonts w:ascii="Arial Bold" w:hAnsi="Arial Bold" w:cs="Arial Bold"/>
          <w:b w:val="0"/>
          <w:bCs/>
          <w:color w:val="2A3B4C"/>
        </w:rPr>
        <w:t>Family Support Worker</w:t>
      </w:r>
      <w:r w:rsidR="006D12C9">
        <w:br/>
      </w:r>
      <w:r w:rsidRPr="0079682A">
        <w:rPr>
          <w:color w:val="00A879"/>
        </w:rPr>
        <w:t>Service:</w:t>
      </w:r>
      <w:r>
        <w:tab/>
      </w:r>
      <w:r w:rsidR="00C57642">
        <w:rPr>
          <w:rFonts w:ascii="Arial Bold" w:hAnsi="Arial Bold" w:cs="Arial Bold"/>
          <w:b w:val="0"/>
          <w:bCs/>
          <w:color w:val="2A3B4C"/>
        </w:rPr>
        <w:t xml:space="preserve">HMP </w:t>
      </w:r>
      <w:proofErr w:type="spellStart"/>
      <w:r w:rsidR="00C57642">
        <w:rPr>
          <w:rFonts w:ascii="Arial Bold" w:hAnsi="Arial Bold" w:cs="Arial Bold"/>
          <w:b w:val="0"/>
          <w:bCs/>
          <w:color w:val="2A3B4C"/>
        </w:rPr>
        <w:t>Hollesley</w:t>
      </w:r>
      <w:proofErr w:type="spellEnd"/>
      <w:r w:rsidR="00C57642">
        <w:rPr>
          <w:rFonts w:ascii="Arial Bold" w:hAnsi="Arial Bold" w:cs="Arial Bold"/>
          <w:b w:val="0"/>
          <w:bCs/>
          <w:color w:val="2A3B4C"/>
        </w:rPr>
        <w:t xml:space="preserve"> Bay</w:t>
      </w:r>
      <w:r w:rsidR="00F40AF6">
        <w:rPr>
          <w:rFonts w:ascii="Arial Bold" w:hAnsi="Arial Bold" w:cs="Arial Bold"/>
          <w:b w:val="0"/>
          <w:bCs/>
          <w:color w:val="2A3B4C"/>
        </w:rPr>
        <w:br/>
      </w:r>
      <w:r w:rsidRPr="0079682A">
        <w:rPr>
          <w:color w:val="00A879"/>
        </w:rPr>
        <w:t>Location:</w:t>
      </w:r>
      <w:r>
        <w:tab/>
      </w:r>
      <w:r w:rsidR="00C57642">
        <w:rPr>
          <w:rFonts w:ascii="Arial Bold" w:hAnsi="Arial Bold" w:cs="Arial Bold"/>
          <w:b w:val="0"/>
          <w:bCs/>
          <w:color w:val="2A3B4C"/>
        </w:rPr>
        <w:t xml:space="preserve">HMP </w:t>
      </w:r>
      <w:proofErr w:type="spellStart"/>
      <w:r w:rsidR="00C57642">
        <w:rPr>
          <w:rFonts w:ascii="Arial Bold" w:hAnsi="Arial Bold" w:cs="Arial Bold"/>
          <w:b w:val="0"/>
          <w:bCs/>
          <w:color w:val="2A3B4C"/>
        </w:rPr>
        <w:t>Hollesley</w:t>
      </w:r>
      <w:proofErr w:type="spellEnd"/>
      <w:r w:rsidR="00C57642">
        <w:rPr>
          <w:rFonts w:ascii="Arial Bold" w:hAnsi="Arial Bold" w:cs="Arial Bold"/>
          <w:b w:val="0"/>
          <w:bCs/>
          <w:color w:val="2A3B4C"/>
        </w:rPr>
        <w:t xml:space="preserve"> Bay</w:t>
      </w:r>
      <w:r w:rsidR="006D12C9">
        <w:br/>
      </w:r>
    </w:p>
    <w:p w14:paraId="3F96DF33" w14:textId="389D17A3" w:rsidR="006952DB" w:rsidRDefault="00C35BFD" w:rsidP="00BC61F9">
      <w:pPr>
        <w:pStyle w:val="OrmistonSubtitle12pt"/>
      </w:pPr>
      <w:r w:rsidRPr="00EB12C4">
        <w:t>Job purpose</w:t>
      </w:r>
      <w:r w:rsidR="00E33736">
        <w:t>:</w:t>
      </w:r>
    </w:p>
    <w:p w14:paraId="68F3F9BC" w14:textId="6A9AA505" w:rsidR="00C57642" w:rsidRPr="00F40AF6" w:rsidRDefault="00872E08" w:rsidP="00334DFD">
      <w:pPr>
        <w:spacing w:line="276" w:lineRule="auto"/>
        <w:ind w:left="360"/>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support </w:t>
      </w:r>
      <w:r w:rsidR="00A95A2E">
        <w:rPr>
          <w:rFonts w:ascii="Arial" w:eastAsia="Calibri" w:hAnsi="Arial" w:cs="Arial"/>
          <w:color w:val="2A3B4C"/>
          <w:sz w:val="21"/>
          <w:szCs w:val="21"/>
          <w:lang w:eastAsia="en-GB"/>
        </w:rPr>
        <w:t>offenders’</w:t>
      </w:r>
      <w:r>
        <w:rPr>
          <w:rFonts w:ascii="Arial" w:eastAsia="Calibri" w:hAnsi="Arial" w:cs="Arial"/>
          <w:color w:val="2A3B4C"/>
          <w:sz w:val="21"/>
          <w:szCs w:val="21"/>
          <w:lang w:eastAsia="en-GB"/>
        </w:rPr>
        <w:t xml:space="preserve"> </w:t>
      </w:r>
      <w:bookmarkStart w:id="0" w:name="_GoBack"/>
      <w:bookmarkEnd w:id="0"/>
      <w:r>
        <w:rPr>
          <w:rFonts w:ascii="Arial" w:eastAsia="Calibri" w:hAnsi="Arial" w:cs="Arial"/>
          <w:color w:val="2A3B4C"/>
          <w:sz w:val="21"/>
          <w:szCs w:val="21"/>
          <w:lang w:eastAsia="en-GB"/>
        </w:rPr>
        <w:t>relationships with their families.</w:t>
      </w:r>
    </w:p>
    <w:p w14:paraId="6182A061" w14:textId="77777777" w:rsidR="00872E08" w:rsidRDefault="00872E08" w:rsidP="00334DFD">
      <w:pPr>
        <w:pStyle w:val="OrmistonBullets105pt"/>
        <w:numPr>
          <w:ilvl w:val="0"/>
          <w:numId w:val="0"/>
        </w:numPr>
        <w:rPr>
          <w:rFonts w:ascii="Arial Bold" w:eastAsiaTheme="minorEastAsia" w:hAnsi="Arial Bold" w:cs="Arial Bold"/>
          <w:bCs/>
          <w:sz w:val="24"/>
          <w:szCs w:val="24"/>
          <w:lang w:eastAsia="en-US"/>
        </w:rPr>
      </w:pP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74CA5CB8" w14:textId="77777777" w:rsidR="00C57642" w:rsidRPr="00C57642" w:rsidRDefault="00C57642" w:rsidP="00C57642">
      <w:pPr>
        <w:pStyle w:val="ListParagraph"/>
        <w:rPr>
          <w:rFonts w:ascii="Arial" w:hAnsi="Arial" w:cs="Arial"/>
          <w:color w:val="2A3B4C"/>
          <w:sz w:val="21"/>
          <w:szCs w:val="21"/>
        </w:rPr>
      </w:pPr>
    </w:p>
    <w:p w14:paraId="125400D9" w14:textId="77777777" w:rsidR="00C57642" w:rsidRPr="00C57642" w:rsidRDefault="00C57642" w:rsidP="00C57642">
      <w:pPr>
        <w:numPr>
          <w:ilvl w:val="0"/>
          <w:numId w:val="49"/>
        </w:numPr>
        <w:autoSpaceDE w:val="0"/>
        <w:autoSpaceDN w:val="0"/>
        <w:adjustRightInd w:val="0"/>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deliver planned interventions/play activities with children, families and offenders in the prison to achieve identified outcomes for children, young people and families.</w:t>
      </w:r>
    </w:p>
    <w:p w14:paraId="3BB13E01" w14:textId="77777777" w:rsidR="00C57642" w:rsidRPr="00C57642" w:rsidRDefault="00C57642" w:rsidP="00C57642">
      <w:pPr>
        <w:pStyle w:val="ListParagraph"/>
        <w:rPr>
          <w:rFonts w:ascii="Arial" w:hAnsi="Arial" w:cs="Arial"/>
          <w:color w:val="2A3B4C"/>
          <w:sz w:val="21"/>
          <w:szCs w:val="21"/>
        </w:rPr>
      </w:pPr>
    </w:p>
    <w:p w14:paraId="19A4768C"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 xml:space="preserve">To liaise with prison staff to ensure smooth running of daily visits, ensuring all aspects of provision are covered. </w:t>
      </w:r>
    </w:p>
    <w:p w14:paraId="3ACB003D" w14:textId="77777777" w:rsidR="00C57642" w:rsidRPr="00C57642" w:rsidRDefault="00C57642" w:rsidP="00872E08">
      <w:pPr>
        <w:rPr>
          <w:rFonts w:ascii="Arial" w:eastAsia="Calibri" w:hAnsi="Arial" w:cs="Arial"/>
          <w:color w:val="2A3B4C"/>
          <w:sz w:val="21"/>
          <w:szCs w:val="21"/>
          <w:lang w:eastAsia="en-GB"/>
        </w:rPr>
      </w:pPr>
    </w:p>
    <w:p w14:paraId="18D4F709" w14:textId="0D828D51"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 xml:space="preserve">To provide support and information to visitors face to face and via telephone, ‘signposting’ where appropriate </w:t>
      </w:r>
    </w:p>
    <w:p w14:paraId="3D15C3B3" w14:textId="77777777" w:rsidR="00C57642" w:rsidRPr="00C57642" w:rsidRDefault="00C57642" w:rsidP="00C57642">
      <w:pPr>
        <w:pStyle w:val="ListParagraph"/>
        <w:rPr>
          <w:rFonts w:ascii="Arial" w:hAnsi="Arial" w:cs="Arial"/>
          <w:color w:val="2A3B4C"/>
          <w:sz w:val="21"/>
          <w:szCs w:val="21"/>
        </w:rPr>
      </w:pPr>
    </w:p>
    <w:p w14:paraId="0701830C"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attend prison inductions to promote Ormiston services to prisoners and other organisations within the prison</w:t>
      </w:r>
      <w:r w:rsidRPr="00C57642">
        <w:rPr>
          <w:rFonts w:ascii="Arial" w:eastAsia="Calibri" w:hAnsi="Arial" w:cs="Arial"/>
          <w:color w:val="2A3B4C"/>
          <w:sz w:val="21"/>
          <w:szCs w:val="21"/>
          <w:lang w:eastAsia="en-GB"/>
        </w:rPr>
        <w:br/>
      </w:r>
    </w:p>
    <w:p w14:paraId="600D0EBE"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 xml:space="preserve">To obtain prison keys to open, close the building </w:t>
      </w:r>
    </w:p>
    <w:p w14:paraId="667607F4" w14:textId="77777777" w:rsidR="00C57642" w:rsidRPr="00C57642" w:rsidRDefault="00C57642" w:rsidP="00C57642">
      <w:pPr>
        <w:ind w:left="135"/>
        <w:rPr>
          <w:rFonts w:ascii="Arial" w:eastAsia="Calibri" w:hAnsi="Arial" w:cs="Arial"/>
          <w:color w:val="2A3B4C"/>
          <w:sz w:val="21"/>
          <w:szCs w:val="21"/>
          <w:lang w:eastAsia="en-GB"/>
        </w:rPr>
      </w:pPr>
    </w:p>
    <w:p w14:paraId="591C116D"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follow rules and procedures within the prison and keep up to date with changes.</w:t>
      </w:r>
    </w:p>
    <w:p w14:paraId="24D5711E" w14:textId="77777777" w:rsidR="00C57642" w:rsidRPr="00C57642" w:rsidRDefault="00C57642" w:rsidP="00C57642">
      <w:pPr>
        <w:rPr>
          <w:rFonts w:ascii="Arial" w:eastAsia="Calibri" w:hAnsi="Arial" w:cs="Arial"/>
          <w:color w:val="2A3B4C"/>
          <w:sz w:val="21"/>
          <w:szCs w:val="21"/>
          <w:lang w:eastAsia="en-GB"/>
        </w:rPr>
      </w:pPr>
    </w:p>
    <w:p w14:paraId="2B6162AB"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keep records and ensure the maintenance of accurate recording systems related to service/project activities and /or service users.</w:t>
      </w:r>
    </w:p>
    <w:p w14:paraId="5212FAA2" w14:textId="77777777" w:rsidR="00C57642" w:rsidRPr="00C57642" w:rsidRDefault="00C57642" w:rsidP="00C57642">
      <w:pPr>
        <w:rPr>
          <w:rFonts w:ascii="Arial" w:eastAsia="Calibri" w:hAnsi="Arial" w:cs="Arial"/>
          <w:color w:val="2A3B4C"/>
          <w:sz w:val="21"/>
          <w:szCs w:val="21"/>
          <w:lang w:eastAsia="en-GB"/>
        </w:rPr>
      </w:pPr>
    </w:p>
    <w:p w14:paraId="3D2601C0"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be a fully participating member of the team and to play an active role in the delivery of the service plan and service level agreement.</w:t>
      </w:r>
    </w:p>
    <w:p w14:paraId="761E07FA" w14:textId="77777777" w:rsidR="00C57642" w:rsidRPr="00C57642" w:rsidRDefault="00C57642" w:rsidP="00C57642">
      <w:pPr>
        <w:pStyle w:val="ListParagraph"/>
        <w:rPr>
          <w:rFonts w:ascii="Arial" w:hAnsi="Arial" w:cs="Arial"/>
          <w:color w:val="2A3B4C"/>
          <w:sz w:val="21"/>
          <w:szCs w:val="21"/>
        </w:rPr>
      </w:pPr>
    </w:p>
    <w:p w14:paraId="7924EADE"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attend any relevant meetings within the prison</w:t>
      </w:r>
    </w:p>
    <w:p w14:paraId="185339F7" w14:textId="77777777" w:rsidR="00C57642" w:rsidRDefault="00C57642" w:rsidP="00C57642">
      <w:pPr>
        <w:pStyle w:val="ListParagraph"/>
        <w:rPr>
          <w:rFonts w:ascii="Trebuchet MS" w:hAnsi="Trebuchet MS"/>
          <w:sz w:val="22"/>
          <w:szCs w:val="22"/>
        </w:rPr>
      </w:pPr>
    </w:p>
    <w:p w14:paraId="4BE38130"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work within Ormiston’s mission and values and all policies and procedures, including Safeguarding, Equality and Diversity, Participation, Quality and Health and Safety. Comply with relevant external standards and Quality Marks.</w:t>
      </w:r>
    </w:p>
    <w:p w14:paraId="71DFDAB6" w14:textId="77777777" w:rsidR="00C57642" w:rsidRPr="00C57642" w:rsidRDefault="00C57642" w:rsidP="00C57642">
      <w:pPr>
        <w:ind w:left="720"/>
        <w:rPr>
          <w:rFonts w:ascii="Arial" w:eastAsia="Calibri" w:hAnsi="Arial" w:cs="Arial"/>
          <w:color w:val="2A3B4C"/>
          <w:sz w:val="21"/>
          <w:szCs w:val="21"/>
          <w:lang w:eastAsia="en-GB"/>
        </w:rPr>
      </w:pPr>
    </w:p>
    <w:p w14:paraId="33D674E0" w14:textId="77777777" w:rsidR="00C57642" w:rsidRPr="00C57642" w:rsidRDefault="00C57642" w:rsidP="00C57642">
      <w:pPr>
        <w:numPr>
          <w:ilvl w:val="0"/>
          <w:numId w:val="49"/>
        </w:numPr>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To carry out any additional appropriate duties as instructed by the manager.</w:t>
      </w:r>
    </w:p>
    <w:p w14:paraId="597C55C0" w14:textId="77777777" w:rsidR="00BC61F9" w:rsidRPr="00F40AF6" w:rsidRDefault="00BC61F9" w:rsidP="00334DFD">
      <w:pPr>
        <w:spacing w:line="276" w:lineRule="auto"/>
        <w:rPr>
          <w:rFonts w:ascii="Arial" w:eastAsia="Calibri" w:hAnsi="Arial" w:cs="Arial"/>
          <w:color w:val="2A3B4C"/>
          <w:sz w:val="21"/>
          <w:szCs w:val="21"/>
          <w:lang w:eastAsia="en-GB"/>
        </w:rPr>
      </w:pPr>
    </w:p>
    <w:p w14:paraId="11F28756" w14:textId="77777777" w:rsidR="00BC61F9" w:rsidRDefault="00BC61F9" w:rsidP="00334DFD">
      <w:pPr>
        <w:spacing w:line="276" w:lineRule="auto"/>
        <w:rPr>
          <w:rFonts w:ascii="Arial" w:hAnsi="Arial" w:cs="Arial"/>
          <w:sz w:val="22"/>
          <w:szCs w:val="22"/>
        </w:rPr>
      </w:pPr>
    </w:p>
    <w:p w14:paraId="203EA6E4" w14:textId="77777777" w:rsidR="00BC61F9" w:rsidRDefault="00BC61F9" w:rsidP="00334DFD">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4CD4D66E" w14:textId="77777777" w:rsidR="00A95A2E" w:rsidRDefault="00A95A2E" w:rsidP="00F40AF6">
      <w:pPr>
        <w:pStyle w:val="OrmistonSubHeader"/>
      </w:pPr>
    </w:p>
    <w:p w14:paraId="4B1627CB" w14:textId="7CE73478" w:rsidR="00F40AF6" w:rsidRDefault="00C35BFD" w:rsidP="00F40AF6">
      <w:pPr>
        <w:pStyle w:val="OrmistonSubHeader"/>
      </w:pPr>
      <w:r w:rsidRPr="001B492F">
        <w:lastRenderedPageBreak/>
        <w:t>Person Specification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1"/>
        <w:gridCol w:w="1302"/>
        <w:gridCol w:w="3096"/>
      </w:tblGrid>
      <w:tr w:rsidR="00C57642" w14:paraId="3DF07647" w14:textId="77777777" w:rsidTr="00C57642">
        <w:trPr>
          <w:trHeight w:val="856"/>
        </w:trPr>
        <w:tc>
          <w:tcPr>
            <w:tcW w:w="5201" w:type="dxa"/>
            <w:tcBorders>
              <w:top w:val="single" w:sz="4" w:space="0" w:color="auto"/>
              <w:left w:val="single" w:sz="4" w:space="0" w:color="auto"/>
              <w:bottom w:val="single" w:sz="4" w:space="0" w:color="auto"/>
              <w:right w:val="single" w:sz="4" w:space="0" w:color="auto"/>
            </w:tcBorders>
          </w:tcPr>
          <w:p w14:paraId="3EC63346" w14:textId="77777777" w:rsidR="00C57642" w:rsidRPr="00C57642" w:rsidRDefault="00C57642" w:rsidP="00C57642">
            <w:pPr>
              <w:spacing w:line="276" w:lineRule="auto"/>
              <w:ind w:left="360"/>
              <w:rPr>
                <w:rFonts w:ascii="Arial" w:eastAsia="Calibri" w:hAnsi="Arial" w:cs="Arial"/>
                <w:b/>
                <w:bCs/>
                <w:color w:val="2A3B4C"/>
                <w:sz w:val="21"/>
                <w:szCs w:val="21"/>
                <w:lang w:eastAsia="en-GB"/>
              </w:rPr>
            </w:pPr>
          </w:p>
          <w:p w14:paraId="54A9D341" w14:textId="77777777" w:rsidR="00C57642" w:rsidRPr="00C57642" w:rsidRDefault="00C57642" w:rsidP="00C57642">
            <w:pPr>
              <w:spacing w:line="276" w:lineRule="auto"/>
              <w:rPr>
                <w:rFonts w:ascii="Arial" w:eastAsia="Calibri" w:hAnsi="Arial" w:cs="Arial"/>
                <w:b/>
                <w:bCs/>
                <w:color w:val="2A3B4C"/>
                <w:sz w:val="21"/>
                <w:szCs w:val="21"/>
                <w:lang w:eastAsia="en-GB"/>
              </w:rPr>
            </w:pPr>
            <w:r w:rsidRPr="00C57642">
              <w:rPr>
                <w:rFonts w:ascii="Arial" w:eastAsia="Calibri" w:hAnsi="Arial" w:cs="Arial"/>
                <w:b/>
                <w:bCs/>
                <w:color w:val="2A3B4C"/>
                <w:sz w:val="21"/>
                <w:szCs w:val="21"/>
                <w:lang w:eastAsia="en-GB"/>
              </w:rPr>
              <w:t>Criteria</w:t>
            </w:r>
          </w:p>
        </w:tc>
        <w:tc>
          <w:tcPr>
            <w:tcW w:w="1302" w:type="dxa"/>
            <w:tcBorders>
              <w:top w:val="single" w:sz="4" w:space="0" w:color="auto"/>
              <w:left w:val="single" w:sz="4" w:space="0" w:color="auto"/>
              <w:bottom w:val="single" w:sz="4" w:space="0" w:color="auto"/>
              <w:right w:val="single" w:sz="4" w:space="0" w:color="auto"/>
            </w:tcBorders>
          </w:tcPr>
          <w:p w14:paraId="121A41C1" w14:textId="77777777" w:rsidR="00C57642" w:rsidRPr="00C57642" w:rsidRDefault="00C57642" w:rsidP="00C57642">
            <w:pPr>
              <w:spacing w:line="276" w:lineRule="auto"/>
              <w:ind w:left="360"/>
              <w:rPr>
                <w:rFonts w:ascii="Arial" w:eastAsia="Calibri" w:hAnsi="Arial" w:cs="Arial"/>
                <w:b/>
                <w:bCs/>
                <w:color w:val="2A3B4C"/>
                <w:sz w:val="21"/>
                <w:szCs w:val="21"/>
                <w:lang w:eastAsia="en-GB"/>
              </w:rPr>
            </w:pPr>
          </w:p>
          <w:p w14:paraId="3D316D24" w14:textId="330EF906" w:rsidR="00C57642" w:rsidRPr="00C57642" w:rsidRDefault="00C57642" w:rsidP="00C57642">
            <w:pPr>
              <w:spacing w:line="276" w:lineRule="auto"/>
              <w:rPr>
                <w:rFonts w:ascii="Arial" w:eastAsia="Calibri" w:hAnsi="Arial" w:cs="Arial"/>
                <w:b/>
                <w:bCs/>
                <w:color w:val="2A3B4C"/>
                <w:sz w:val="21"/>
                <w:szCs w:val="21"/>
                <w:lang w:eastAsia="en-GB"/>
              </w:rPr>
            </w:pPr>
            <w:r w:rsidRPr="00C57642">
              <w:rPr>
                <w:rFonts w:ascii="Arial" w:eastAsia="Calibri" w:hAnsi="Arial" w:cs="Arial"/>
                <w:b/>
                <w:bCs/>
                <w:color w:val="2A3B4C"/>
                <w:sz w:val="21"/>
                <w:szCs w:val="21"/>
                <w:lang w:eastAsia="en-GB"/>
              </w:rPr>
              <w:t>Essential/ Desirable</w:t>
            </w:r>
          </w:p>
        </w:tc>
        <w:tc>
          <w:tcPr>
            <w:tcW w:w="3096" w:type="dxa"/>
            <w:tcBorders>
              <w:top w:val="single" w:sz="4" w:space="0" w:color="auto"/>
              <w:left w:val="single" w:sz="4" w:space="0" w:color="auto"/>
              <w:bottom w:val="single" w:sz="4" w:space="0" w:color="auto"/>
              <w:right w:val="single" w:sz="4" w:space="0" w:color="auto"/>
            </w:tcBorders>
          </w:tcPr>
          <w:p w14:paraId="2C34DCCA" w14:textId="77777777" w:rsidR="00C57642" w:rsidRPr="00C57642" w:rsidRDefault="00C57642" w:rsidP="00C57642">
            <w:pPr>
              <w:spacing w:line="276" w:lineRule="auto"/>
              <w:ind w:left="360"/>
              <w:rPr>
                <w:rFonts w:ascii="Arial" w:eastAsia="Calibri" w:hAnsi="Arial" w:cs="Arial"/>
                <w:b/>
                <w:bCs/>
                <w:color w:val="2A3B4C"/>
                <w:sz w:val="21"/>
                <w:szCs w:val="21"/>
                <w:lang w:eastAsia="en-GB"/>
              </w:rPr>
            </w:pPr>
          </w:p>
          <w:p w14:paraId="0306FBA4" w14:textId="77777777" w:rsidR="00C57642" w:rsidRPr="00C57642" w:rsidRDefault="00C57642" w:rsidP="00C57642">
            <w:pPr>
              <w:spacing w:line="276" w:lineRule="auto"/>
              <w:rPr>
                <w:rFonts w:ascii="Arial" w:eastAsia="Calibri" w:hAnsi="Arial" w:cs="Arial"/>
                <w:b/>
                <w:bCs/>
                <w:color w:val="2A3B4C"/>
                <w:sz w:val="21"/>
                <w:szCs w:val="21"/>
                <w:lang w:eastAsia="en-GB"/>
              </w:rPr>
            </w:pPr>
            <w:r w:rsidRPr="00C57642">
              <w:rPr>
                <w:rFonts w:ascii="Arial" w:eastAsia="Calibri" w:hAnsi="Arial" w:cs="Arial"/>
                <w:b/>
                <w:bCs/>
                <w:color w:val="2A3B4C"/>
                <w:sz w:val="21"/>
                <w:szCs w:val="21"/>
                <w:lang w:eastAsia="en-GB"/>
              </w:rPr>
              <w:t>Measured by</w:t>
            </w:r>
          </w:p>
        </w:tc>
      </w:tr>
      <w:tr w:rsidR="00C57642" w14:paraId="5C37D4AB"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4CF6685F" w14:textId="18010266"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 xml:space="preserve">Experience dealing with people in a customer service-based role. </w:t>
            </w:r>
          </w:p>
        </w:tc>
        <w:tc>
          <w:tcPr>
            <w:tcW w:w="1302" w:type="dxa"/>
            <w:tcBorders>
              <w:top w:val="single" w:sz="4" w:space="0" w:color="auto"/>
              <w:left w:val="single" w:sz="4" w:space="0" w:color="auto"/>
              <w:bottom w:val="single" w:sz="4" w:space="0" w:color="auto"/>
              <w:right w:val="single" w:sz="4" w:space="0" w:color="auto"/>
            </w:tcBorders>
            <w:hideMark/>
          </w:tcPr>
          <w:p w14:paraId="240EE88B"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6AFBE2C7"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69044451"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64E67F02"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Good communication skills, both written and verbal, with the ability to communicate effectively to a range of people</w:t>
            </w:r>
          </w:p>
        </w:tc>
        <w:tc>
          <w:tcPr>
            <w:tcW w:w="1302" w:type="dxa"/>
            <w:tcBorders>
              <w:top w:val="single" w:sz="4" w:space="0" w:color="auto"/>
              <w:left w:val="single" w:sz="4" w:space="0" w:color="auto"/>
              <w:bottom w:val="single" w:sz="4" w:space="0" w:color="auto"/>
              <w:right w:val="single" w:sz="4" w:space="0" w:color="auto"/>
            </w:tcBorders>
            <w:hideMark/>
          </w:tcPr>
          <w:p w14:paraId="79A3563A"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0A2FDB7F"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0F487735" w14:textId="77777777" w:rsidTr="00C57642">
        <w:trPr>
          <w:trHeight w:val="560"/>
        </w:trPr>
        <w:tc>
          <w:tcPr>
            <w:tcW w:w="5201" w:type="dxa"/>
            <w:tcBorders>
              <w:top w:val="single" w:sz="4" w:space="0" w:color="auto"/>
              <w:left w:val="single" w:sz="4" w:space="0" w:color="auto"/>
              <w:bottom w:val="single" w:sz="4" w:space="0" w:color="auto"/>
              <w:right w:val="single" w:sz="4" w:space="0" w:color="auto"/>
            </w:tcBorders>
          </w:tcPr>
          <w:p w14:paraId="63BDC592"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Solution focused approach to problem solving</w:t>
            </w:r>
          </w:p>
          <w:p w14:paraId="02514C55" w14:textId="77777777" w:rsidR="00C57642" w:rsidRPr="00C57642" w:rsidRDefault="00C57642" w:rsidP="00C57642">
            <w:pPr>
              <w:spacing w:line="276" w:lineRule="auto"/>
              <w:ind w:left="360"/>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03EA07A3"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4433B8E1"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7DB570AF"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6A11F0E3"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Excellent attention to detail for recording process, events and systems</w:t>
            </w:r>
          </w:p>
        </w:tc>
        <w:tc>
          <w:tcPr>
            <w:tcW w:w="1302" w:type="dxa"/>
            <w:tcBorders>
              <w:top w:val="single" w:sz="4" w:space="0" w:color="auto"/>
              <w:left w:val="single" w:sz="4" w:space="0" w:color="auto"/>
              <w:bottom w:val="single" w:sz="4" w:space="0" w:color="auto"/>
              <w:right w:val="single" w:sz="4" w:space="0" w:color="auto"/>
            </w:tcBorders>
            <w:hideMark/>
          </w:tcPr>
          <w:p w14:paraId="4D531CFD"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088BFEAA"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70309079"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tcPr>
          <w:p w14:paraId="34B0DADE"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Good understanding of Safeguarding</w:t>
            </w:r>
          </w:p>
          <w:p w14:paraId="7FC942B2" w14:textId="77777777" w:rsidR="00C57642" w:rsidRPr="00C57642" w:rsidRDefault="00C57642" w:rsidP="00C57642">
            <w:pPr>
              <w:spacing w:line="276" w:lineRule="auto"/>
              <w:ind w:left="360"/>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6710B4E0"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06F7EC4A"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3CB580C0" w14:textId="77777777" w:rsidTr="00C57642">
        <w:trPr>
          <w:trHeight w:val="560"/>
        </w:trPr>
        <w:tc>
          <w:tcPr>
            <w:tcW w:w="5201" w:type="dxa"/>
            <w:tcBorders>
              <w:top w:val="single" w:sz="4" w:space="0" w:color="auto"/>
              <w:left w:val="single" w:sz="4" w:space="0" w:color="auto"/>
              <w:bottom w:val="single" w:sz="4" w:space="0" w:color="auto"/>
              <w:right w:val="single" w:sz="4" w:space="0" w:color="auto"/>
            </w:tcBorders>
          </w:tcPr>
          <w:p w14:paraId="122357A3"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 xml:space="preserve">Basic knowledge of health and safety </w:t>
            </w:r>
          </w:p>
          <w:p w14:paraId="70E5CE6C" w14:textId="77777777" w:rsidR="00C57642" w:rsidRPr="00C57642" w:rsidRDefault="00C57642" w:rsidP="00C57642">
            <w:pPr>
              <w:spacing w:line="276" w:lineRule="auto"/>
              <w:ind w:left="360"/>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3B2CE6A4"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44990083"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3F249033"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4F0C0A7A" w14:textId="4AA3D070"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Diplomatic and able to deal with issues</w:t>
            </w:r>
            <w:r>
              <w:rPr>
                <w:rFonts w:ascii="Arial" w:eastAsia="Calibri" w:hAnsi="Arial" w:cs="Arial"/>
                <w:color w:val="2A3B4C"/>
                <w:sz w:val="21"/>
                <w:szCs w:val="21"/>
                <w:lang w:eastAsia="en-GB"/>
              </w:rPr>
              <w:t xml:space="preserve"> </w:t>
            </w:r>
            <w:r w:rsidRPr="00C57642">
              <w:rPr>
                <w:rFonts w:ascii="Arial" w:eastAsia="Calibri" w:hAnsi="Arial" w:cs="Arial"/>
                <w:color w:val="2A3B4C"/>
                <w:sz w:val="21"/>
                <w:szCs w:val="21"/>
                <w:lang w:eastAsia="en-GB"/>
              </w:rPr>
              <w:t>sensitively and with discretion</w:t>
            </w:r>
          </w:p>
        </w:tc>
        <w:tc>
          <w:tcPr>
            <w:tcW w:w="1302" w:type="dxa"/>
            <w:tcBorders>
              <w:top w:val="single" w:sz="4" w:space="0" w:color="auto"/>
              <w:left w:val="single" w:sz="4" w:space="0" w:color="auto"/>
              <w:bottom w:val="single" w:sz="4" w:space="0" w:color="auto"/>
              <w:right w:val="single" w:sz="4" w:space="0" w:color="auto"/>
            </w:tcBorders>
            <w:hideMark/>
          </w:tcPr>
          <w:p w14:paraId="1BFAD326"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008310B5"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4C49E87D"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36EC2B26" w14:textId="77777777" w:rsid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Good understanding of confidentiality and data protection</w:t>
            </w:r>
          </w:p>
          <w:p w14:paraId="78BCC0F4" w14:textId="6BB26C28" w:rsidR="00C57642" w:rsidRPr="00C57642" w:rsidRDefault="00C57642" w:rsidP="00C57642">
            <w:pPr>
              <w:spacing w:line="276" w:lineRule="auto"/>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7C43406E"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3B0BBC77"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5C2DE2E1" w14:textId="77777777" w:rsidTr="00C57642">
        <w:trPr>
          <w:trHeight w:val="856"/>
        </w:trPr>
        <w:tc>
          <w:tcPr>
            <w:tcW w:w="5201" w:type="dxa"/>
            <w:tcBorders>
              <w:top w:val="single" w:sz="4" w:space="0" w:color="auto"/>
              <w:left w:val="single" w:sz="4" w:space="0" w:color="auto"/>
              <w:bottom w:val="single" w:sz="4" w:space="0" w:color="auto"/>
              <w:right w:val="single" w:sz="4" w:space="0" w:color="auto"/>
            </w:tcBorders>
            <w:hideMark/>
          </w:tcPr>
          <w:p w14:paraId="4A68D349"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Experience of working directly with children, young people and their families using an appropriate range of techniques</w:t>
            </w:r>
          </w:p>
        </w:tc>
        <w:tc>
          <w:tcPr>
            <w:tcW w:w="1302" w:type="dxa"/>
            <w:tcBorders>
              <w:top w:val="single" w:sz="4" w:space="0" w:color="auto"/>
              <w:left w:val="single" w:sz="4" w:space="0" w:color="auto"/>
              <w:bottom w:val="single" w:sz="4" w:space="0" w:color="auto"/>
              <w:right w:val="single" w:sz="4" w:space="0" w:color="auto"/>
            </w:tcBorders>
            <w:hideMark/>
          </w:tcPr>
          <w:p w14:paraId="327E6320"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Desirable</w:t>
            </w:r>
          </w:p>
        </w:tc>
        <w:tc>
          <w:tcPr>
            <w:tcW w:w="3096" w:type="dxa"/>
            <w:tcBorders>
              <w:top w:val="single" w:sz="4" w:space="0" w:color="auto"/>
              <w:left w:val="single" w:sz="4" w:space="0" w:color="auto"/>
              <w:bottom w:val="single" w:sz="4" w:space="0" w:color="auto"/>
              <w:right w:val="single" w:sz="4" w:space="0" w:color="auto"/>
            </w:tcBorders>
            <w:hideMark/>
          </w:tcPr>
          <w:p w14:paraId="35AD80AB"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 interview</w:t>
            </w:r>
          </w:p>
        </w:tc>
      </w:tr>
      <w:tr w:rsidR="00C57642" w14:paraId="31AC3CE2"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6765CBDF" w14:textId="1277965C"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Ability to manage own workload and work on own initiative within given guidelines and procedures</w:t>
            </w:r>
          </w:p>
        </w:tc>
        <w:tc>
          <w:tcPr>
            <w:tcW w:w="1302" w:type="dxa"/>
            <w:tcBorders>
              <w:top w:val="single" w:sz="4" w:space="0" w:color="auto"/>
              <w:left w:val="single" w:sz="4" w:space="0" w:color="auto"/>
              <w:bottom w:val="single" w:sz="4" w:space="0" w:color="auto"/>
              <w:right w:val="single" w:sz="4" w:space="0" w:color="auto"/>
            </w:tcBorders>
            <w:hideMark/>
          </w:tcPr>
          <w:p w14:paraId="474B06B3"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244CCEF4"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129E0E68" w14:textId="77777777" w:rsidTr="00C57642">
        <w:trPr>
          <w:trHeight w:val="560"/>
        </w:trPr>
        <w:tc>
          <w:tcPr>
            <w:tcW w:w="5201" w:type="dxa"/>
            <w:tcBorders>
              <w:top w:val="single" w:sz="4" w:space="0" w:color="auto"/>
              <w:left w:val="single" w:sz="4" w:space="0" w:color="auto"/>
              <w:bottom w:val="single" w:sz="4" w:space="0" w:color="auto"/>
              <w:right w:val="single" w:sz="4" w:space="0" w:color="auto"/>
            </w:tcBorders>
            <w:hideMark/>
          </w:tcPr>
          <w:p w14:paraId="41BC4D19" w14:textId="77777777" w:rsid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Good understanding of equal opportunities and diversity</w:t>
            </w:r>
          </w:p>
          <w:p w14:paraId="37A88690" w14:textId="1D402AF2" w:rsidR="00C57642" w:rsidRPr="00C57642" w:rsidRDefault="00C57642" w:rsidP="00C57642">
            <w:pPr>
              <w:spacing w:line="276" w:lineRule="auto"/>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573F21B2"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2BFC8C45"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401F037C"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549B6F5E"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Knowledge of other appropriate and relevant service provisions in the area</w:t>
            </w:r>
          </w:p>
        </w:tc>
        <w:tc>
          <w:tcPr>
            <w:tcW w:w="1302" w:type="dxa"/>
            <w:tcBorders>
              <w:top w:val="single" w:sz="4" w:space="0" w:color="auto"/>
              <w:left w:val="single" w:sz="4" w:space="0" w:color="auto"/>
              <w:bottom w:val="single" w:sz="4" w:space="0" w:color="auto"/>
              <w:right w:val="single" w:sz="4" w:space="0" w:color="auto"/>
            </w:tcBorders>
            <w:hideMark/>
          </w:tcPr>
          <w:p w14:paraId="6A0C3CD7"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7287002F"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7D8AF1FD" w14:textId="77777777" w:rsidTr="00C57642">
        <w:trPr>
          <w:trHeight w:val="576"/>
        </w:trPr>
        <w:tc>
          <w:tcPr>
            <w:tcW w:w="5201" w:type="dxa"/>
            <w:tcBorders>
              <w:top w:val="single" w:sz="4" w:space="0" w:color="auto"/>
              <w:left w:val="single" w:sz="4" w:space="0" w:color="auto"/>
              <w:bottom w:val="single" w:sz="4" w:space="0" w:color="auto"/>
              <w:right w:val="single" w:sz="4" w:space="0" w:color="auto"/>
            </w:tcBorders>
            <w:hideMark/>
          </w:tcPr>
          <w:p w14:paraId="00D581FE"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Ability to think quickly in busy situations as safety and quality of care is paramount</w:t>
            </w:r>
          </w:p>
        </w:tc>
        <w:tc>
          <w:tcPr>
            <w:tcW w:w="1302" w:type="dxa"/>
            <w:tcBorders>
              <w:top w:val="single" w:sz="4" w:space="0" w:color="auto"/>
              <w:left w:val="single" w:sz="4" w:space="0" w:color="auto"/>
              <w:bottom w:val="single" w:sz="4" w:space="0" w:color="auto"/>
              <w:right w:val="single" w:sz="4" w:space="0" w:color="auto"/>
            </w:tcBorders>
            <w:hideMark/>
          </w:tcPr>
          <w:p w14:paraId="19E8ADDD"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0E62C0CB"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r w:rsidR="00C57642" w14:paraId="7BF0D800" w14:textId="77777777" w:rsidTr="00C57642">
        <w:trPr>
          <w:trHeight w:val="560"/>
        </w:trPr>
        <w:tc>
          <w:tcPr>
            <w:tcW w:w="5201" w:type="dxa"/>
            <w:tcBorders>
              <w:top w:val="single" w:sz="4" w:space="0" w:color="auto"/>
              <w:left w:val="single" w:sz="4" w:space="0" w:color="auto"/>
              <w:bottom w:val="single" w:sz="4" w:space="0" w:color="auto"/>
              <w:right w:val="single" w:sz="4" w:space="0" w:color="auto"/>
            </w:tcBorders>
            <w:hideMark/>
          </w:tcPr>
          <w:p w14:paraId="78EF39A1" w14:textId="77777777" w:rsid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Competent ability to use MS Excel, MS Word and Outlook</w:t>
            </w:r>
          </w:p>
          <w:p w14:paraId="56726EFB" w14:textId="6FE680FC" w:rsidR="00C57642" w:rsidRPr="00C57642" w:rsidRDefault="00C57642" w:rsidP="00C57642">
            <w:pPr>
              <w:spacing w:line="276" w:lineRule="auto"/>
              <w:rPr>
                <w:rFonts w:ascii="Arial" w:eastAsia="Calibri" w:hAnsi="Arial" w:cs="Arial"/>
                <w:color w:val="2A3B4C"/>
                <w:sz w:val="21"/>
                <w:szCs w:val="21"/>
                <w:lang w:eastAsia="en-GB"/>
              </w:rPr>
            </w:pPr>
          </w:p>
        </w:tc>
        <w:tc>
          <w:tcPr>
            <w:tcW w:w="1302" w:type="dxa"/>
            <w:tcBorders>
              <w:top w:val="single" w:sz="4" w:space="0" w:color="auto"/>
              <w:left w:val="single" w:sz="4" w:space="0" w:color="auto"/>
              <w:bottom w:val="single" w:sz="4" w:space="0" w:color="auto"/>
              <w:right w:val="single" w:sz="4" w:space="0" w:color="auto"/>
            </w:tcBorders>
            <w:hideMark/>
          </w:tcPr>
          <w:p w14:paraId="7F188359"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Essential</w:t>
            </w:r>
          </w:p>
        </w:tc>
        <w:tc>
          <w:tcPr>
            <w:tcW w:w="3096" w:type="dxa"/>
            <w:tcBorders>
              <w:top w:val="single" w:sz="4" w:space="0" w:color="auto"/>
              <w:left w:val="single" w:sz="4" w:space="0" w:color="auto"/>
              <w:bottom w:val="single" w:sz="4" w:space="0" w:color="auto"/>
              <w:right w:val="single" w:sz="4" w:space="0" w:color="auto"/>
            </w:tcBorders>
            <w:hideMark/>
          </w:tcPr>
          <w:p w14:paraId="6A73EA4F" w14:textId="77777777" w:rsidR="00C57642" w:rsidRPr="00C57642" w:rsidRDefault="00C57642" w:rsidP="00C57642">
            <w:pPr>
              <w:spacing w:line="276" w:lineRule="auto"/>
              <w:rPr>
                <w:rFonts w:ascii="Arial" w:eastAsia="Calibri" w:hAnsi="Arial" w:cs="Arial"/>
                <w:color w:val="2A3B4C"/>
                <w:sz w:val="21"/>
                <w:szCs w:val="21"/>
                <w:lang w:eastAsia="en-GB"/>
              </w:rPr>
            </w:pPr>
            <w:r w:rsidRPr="00C57642">
              <w:rPr>
                <w:rFonts w:ascii="Arial" w:eastAsia="Calibri" w:hAnsi="Arial" w:cs="Arial"/>
                <w:color w:val="2A3B4C"/>
                <w:sz w:val="21"/>
                <w:szCs w:val="21"/>
                <w:lang w:eastAsia="en-GB"/>
              </w:rPr>
              <w:t>Application form/interview</w:t>
            </w:r>
          </w:p>
        </w:tc>
      </w:tr>
    </w:tbl>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030869A2" w:rsidR="003F4568" w:rsidRDefault="003F4568" w:rsidP="004F1758">
      <w:pPr>
        <w:pStyle w:val="OrmistonBody105pt"/>
      </w:pPr>
    </w:p>
    <w:p w14:paraId="74C91B47" w14:textId="6228722C" w:rsidR="00F40AF6" w:rsidRDefault="00F40AF6" w:rsidP="004F1758">
      <w:pPr>
        <w:pStyle w:val="OrmistonBody105pt"/>
      </w:pPr>
    </w:p>
    <w:p w14:paraId="44B0EACF" w14:textId="522CE575" w:rsidR="00F40AF6" w:rsidRDefault="00F40AF6" w:rsidP="004F1758">
      <w:pPr>
        <w:pStyle w:val="OrmistonBody105pt"/>
      </w:pPr>
    </w:p>
    <w:p w14:paraId="1F6BA6AD" w14:textId="7FE60745" w:rsidR="00F40AF6" w:rsidRDefault="00F40AF6" w:rsidP="004F1758">
      <w:pPr>
        <w:pStyle w:val="OrmistonBody105pt"/>
      </w:pPr>
    </w:p>
    <w:p w14:paraId="36B1ECC2" w14:textId="62D4B0B5" w:rsidR="00F40AF6" w:rsidRDefault="00F40AF6" w:rsidP="004F1758">
      <w:pPr>
        <w:pStyle w:val="OrmistonBody105pt"/>
      </w:pPr>
    </w:p>
    <w:p w14:paraId="148BEE9E" w14:textId="574DD53A" w:rsidR="00F40AF6" w:rsidRDefault="00F40AF6" w:rsidP="004F1758">
      <w:pPr>
        <w:pStyle w:val="OrmistonBody105pt"/>
      </w:pPr>
    </w:p>
    <w:p w14:paraId="5FF9E3E4" w14:textId="10A88928" w:rsidR="00F40AF6" w:rsidRDefault="00F40AF6" w:rsidP="004F1758">
      <w:pPr>
        <w:pStyle w:val="OrmistonBody105pt"/>
      </w:pPr>
    </w:p>
    <w:p w14:paraId="0E82CE2D" w14:textId="3FACDBDC" w:rsidR="00F40AF6" w:rsidRDefault="00F40AF6" w:rsidP="004F1758">
      <w:pPr>
        <w:pStyle w:val="OrmistonBody105pt"/>
      </w:pPr>
    </w:p>
    <w:p w14:paraId="75D8F61B" w14:textId="72C8D779"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6C6C0910"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C57642">
        <w:rPr>
          <w:rFonts w:ascii="Arial" w:eastAsiaTheme="minorEastAsia" w:hAnsi="Arial" w:cs="Arial"/>
          <w:color w:val="2A3B4C"/>
          <w:sz w:val="21"/>
          <w:szCs w:val="21"/>
        </w:rPr>
        <w:t>Monday 16</w:t>
      </w:r>
      <w:r w:rsidR="00C57642" w:rsidRPr="00C57642">
        <w:rPr>
          <w:rFonts w:ascii="Arial" w:eastAsiaTheme="minorEastAsia" w:hAnsi="Arial" w:cs="Arial"/>
          <w:color w:val="2A3B4C"/>
          <w:sz w:val="21"/>
          <w:szCs w:val="21"/>
          <w:vertAlign w:val="superscript"/>
        </w:rPr>
        <w:t>th</w:t>
      </w:r>
      <w:r w:rsidR="00C57642">
        <w:rPr>
          <w:rFonts w:ascii="Arial" w:eastAsiaTheme="minorEastAsia" w:hAnsi="Arial" w:cs="Arial"/>
          <w:color w:val="2A3B4C"/>
          <w:sz w:val="21"/>
          <w:szCs w:val="21"/>
        </w:rPr>
        <w:t xml:space="preserve"> December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DF8671A"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C57642">
        <w:rPr>
          <w:rFonts w:ascii="Arial" w:hAnsi="Arial" w:cs="Arial"/>
          <w:b/>
          <w:bCs/>
          <w:color w:val="2A3B4C"/>
          <w:sz w:val="21"/>
          <w:szCs w:val="21"/>
        </w:rPr>
        <w:t>lucy.adams</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4536" w:hanging="360"/>
      </w:pPr>
      <w:rPr>
        <w:rFonts w:ascii="Symbol" w:hAnsi="Symbol" w:hint="default"/>
        <w:b/>
        <w:bCs/>
        <w:i w:val="0"/>
        <w:iCs w:val="0"/>
        <w:color w:val="00A879"/>
        <w:sz w:val="22"/>
        <w:szCs w:val="22"/>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7"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310A4D"/>
    <w:multiLevelType w:val="hybridMultilevel"/>
    <w:tmpl w:val="BAFE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7943142"/>
    <w:multiLevelType w:val="hybridMultilevel"/>
    <w:tmpl w:val="FC6C6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7A3FCB"/>
    <w:multiLevelType w:val="hybridMultilevel"/>
    <w:tmpl w:val="1E0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6"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7"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8"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3"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15:restartNumberingAfterBreak="0">
    <w:nsid w:val="7E832EF7"/>
    <w:multiLevelType w:val="hybridMultilevel"/>
    <w:tmpl w:val="D6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0"/>
  </w:num>
  <w:num w:numId="4">
    <w:abstractNumId w:val="10"/>
  </w:num>
  <w:num w:numId="5">
    <w:abstractNumId w:val="30"/>
  </w:num>
  <w:num w:numId="6">
    <w:abstractNumId w:val="33"/>
  </w:num>
  <w:num w:numId="7">
    <w:abstractNumId w:val="3"/>
  </w:num>
  <w:num w:numId="8">
    <w:abstractNumId w:val="6"/>
  </w:num>
  <w:num w:numId="9">
    <w:abstractNumId w:val="44"/>
  </w:num>
  <w:num w:numId="10">
    <w:abstractNumId w:val="27"/>
  </w:num>
  <w:num w:numId="11">
    <w:abstractNumId w:val="21"/>
  </w:num>
  <w:num w:numId="12">
    <w:abstractNumId w:val="24"/>
  </w:num>
  <w:num w:numId="13">
    <w:abstractNumId w:val="14"/>
  </w:num>
  <w:num w:numId="14">
    <w:abstractNumId w:val="11"/>
  </w:num>
  <w:num w:numId="15">
    <w:abstractNumId w:val="26"/>
  </w:num>
  <w:num w:numId="16">
    <w:abstractNumId w:val="41"/>
  </w:num>
  <w:num w:numId="17">
    <w:abstractNumId w:val="34"/>
  </w:num>
  <w:num w:numId="18">
    <w:abstractNumId w:val="42"/>
  </w:num>
  <w:num w:numId="19">
    <w:abstractNumId w:val="19"/>
  </w:num>
  <w:num w:numId="20">
    <w:abstractNumId w:val="9"/>
  </w:num>
  <w:num w:numId="21">
    <w:abstractNumId w:val="36"/>
  </w:num>
  <w:num w:numId="22">
    <w:abstractNumId w:val="15"/>
  </w:num>
  <w:num w:numId="23">
    <w:abstractNumId w:val="37"/>
  </w:num>
  <w:num w:numId="24">
    <w:abstractNumId w:val="16"/>
  </w:num>
  <w:num w:numId="25">
    <w:abstractNumId w:val="0"/>
  </w:num>
  <w:num w:numId="26">
    <w:abstractNumId w:val="12"/>
  </w:num>
  <w:num w:numId="27">
    <w:abstractNumId w:val="35"/>
  </w:num>
  <w:num w:numId="28">
    <w:abstractNumId w:val="1"/>
  </w:num>
  <w:num w:numId="29">
    <w:abstractNumId w:val="31"/>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9"/>
  </w:num>
  <w:num w:numId="38">
    <w:abstractNumId w:val="38"/>
  </w:num>
  <w:num w:numId="39">
    <w:abstractNumId w:val="22"/>
  </w:num>
  <w:num w:numId="40">
    <w:abstractNumId w:val="32"/>
  </w:num>
  <w:num w:numId="41">
    <w:abstractNumId w:val="5"/>
  </w:num>
  <w:num w:numId="42">
    <w:abstractNumId w:val="2"/>
  </w:num>
  <w:num w:numId="43">
    <w:abstractNumId w:val="13"/>
  </w:num>
  <w:num w:numId="44">
    <w:abstractNumId w:val="8"/>
  </w:num>
  <w:num w:numId="45">
    <w:abstractNumId w:val="18"/>
  </w:num>
  <w:num w:numId="46">
    <w:abstractNumId w:val="29"/>
  </w:num>
  <w:num w:numId="47">
    <w:abstractNumId w:val="4"/>
  </w:num>
  <w:num w:numId="48">
    <w:abstractNumId w:val="2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F9"/>
    <w:rsid w:val="00007179"/>
    <w:rsid w:val="00083DD1"/>
    <w:rsid w:val="000C50AA"/>
    <w:rsid w:val="000D049F"/>
    <w:rsid w:val="000F71CB"/>
    <w:rsid w:val="0011135E"/>
    <w:rsid w:val="0012078F"/>
    <w:rsid w:val="00143E5A"/>
    <w:rsid w:val="00152923"/>
    <w:rsid w:val="0017275F"/>
    <w:rsid w:val="001B492F"/>
    <w:rsid w:val="002B5073"/>
    <w:rsid w:val="003033EC"/>
    <w:rsid w:val="00334DFD"/>
    <w:rsid w:val="003B2457"/>
    <w:rsid w:val="003B4B9D"/>
    <w:rsid w:val="003C7C5B"/>
    <w:rsid w:val="003F4568"/>
    <w:rsid w:val="004F1758"/>
    <w:rsid w:val="00501959"/>
    <w:rsid w:val="00545666"/>
    <w:rsid w:val="0064175F"/>
    <w:rsid w:val="006952DB"/>
    <w:rsid w:val="006C59A6"/>
    <w:rsid w:val="006D12C9"/>
    <w:rsid w:val="006E2DC5"/>
    <w:rsid w:val="006F5D99"/>
    <w:rsid w:val="007001AA"/>
    <w:rsid w:val="007357EB"/>
    <w:rsid w:val="00740C32"/>
    <w:rsid w:val="00783C7A"/>
    <w:rsid w:val="007856DB"/>
    <w:rsid w:val="00791CB5"/>
    <w:rsid w:val="0079682A"/>
    <w:rsid w:val="00797EF3"/>
    <w:rsid w:val="007A5768"/>
    <w:rsid w:val="007D2ABB"/>
    <w:rsid w:val="008525B4"/>
    <w:rsid w:val="0086277E"/>
    <w:rsid w:val="00872BA0"/>
    <w:rsid w:val="00872E08"/>
    <w:rsid w:val="008B2A9A"/>
    <w:rsid w:val="008D5229"/>
    <w:rsid w:val="00920A81"/>
    <w:rsid w:val="00925730"/>
    <w:rsid w:val="00946D00"/>
    <w:rsid w:val="009548BD"/>
    <w:rsid w:val="00990878"/>
    <w:rsid w:val="0099271C"/>
    <w:rsid w:val="009A1BF6"/>
    <w:rsid w:val="009E11FB"/>
    <w:rsid w:val="00A94701"/>
    <w:rsid w:val="00A95A2E"/>
    <w:rsid w:val="00AA4CA4"/>
    <w:rsid w:val="00AB351B"/>
    <w:rsid w:val="00AB4325"/>
    <w:rsid w:val="00AF1568"/>
    <w:rsid w:val="00B43C97"/>
    <w:rsid w:val="00B460F0"/>
    <w:rsid w:val="00B921B2"/>
    <w:rsid w:val="00BC61F9"/>
    <w:rsid w:val="00C07813"/>
    <w:rsid w:val="00C35BFD"/>
    <w:rsid w:val="00C57642"/>
    <w:rsid w:val="00C710CB"/>
    <w:rsid w:val="00D42B10"/>
    <w:rsid w:val="00E07D94"/>
    <w:rsid w:val="00E10041"/>
    <w:rsid w:val="00E33736"/>
    <w:rsid w:val="00E44C87"/>
    <w:rsid w:val="00E8201F"/>
    <w:rsid w:val="00EA3FF0"/>
    <w:rsid w:val="00EB12C4"/>
    <w:rsid w:val="00ED11F9"/>
    <w:rsid w:val="00F40AF6"/>
    <w:rsid w:val="00F87F57"/>
    <w:rsid w:val="00F9712E"/>
    <w:rsid w:val="00FF3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62B5-B1CA-4129-A16C-E28366C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2019-12-02T11:21:00Z</dcterms:created>
  <dcterms:modified xsi:type="dcterms:W3CDTF">2019-12-02T11:26:00Z</dcterms:modified>
</cp:coreProperties>
</file>